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640" w:lineRule="atLeast"/>
        <w:ind w:left="200" w:leftChars="0" w:right="120" w:rightChars="0" w:firstLine="0" w:firstLineChars="0"/>
        <w:jc w:val="center"/>
        <w:textAlignment w:val="baseline"/>
        <w:rPr>
          <w:b/>
          <w:bCs/>
          <w:sz w:val="40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i w:val="0"/>
          <w:strike w:val="0"/>
          <w:color w:val="000000"/>
          <w:sz w:val="40"/>
          <w:szCs w:val="21"/>
        </w:rPr>
        <w:t>关于申请批复《关于下达2024年自治区本级、中央财政衔接推进乡村振兴补助资金(少数民族发展任务) 项目实施方案》的请示</w:t>
      </w:r>
    </w:p>
    <w:p>
      <w:pPr>
        <w:wordWrap w:val="0"/>
        <w:spacing w:before="0" w:after="0" w:line="600" w:lineRule="atLeast"/>
        <w:ind w:right="10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乌拉特前旗人民政府：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为了统筹用好中央、自治区本级财政衔接推进乡村振兴(少数民族发展任务) 资金，进一步做好少数民族发展任务资金的使用、管理和少数民族发展资金项目实施工作，根据乌民委发〔2024〕12号《关于分配2024年中央、 自治区财政衔接推进乡村振兴补助(少数民族发展任务)资金的请示》、乌政发〔2024〕99号《乌拉特前旗人民政府关于对关于分配2024年中央、自治区财政衔接推进乡村振兴补助(少数民族发展任务) 资金的请示的批复》及乌财发〔2024〕84号《关于分配2024年中央、自治区财政衔接推进乡村振兴补助(少数民族发展任务) 资金分配的通知》要求，将中央资金下达少数民族发展任务资金25万元、自治区资金下达少数民族发展任务资金27万元整合使用于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乌拉山镇三湖村基础设施建设项目</w:t>
      </w: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。现将乌镇政发〔2024〕62号《关于上报乌拉山镇2024年衔接资金项目实施方案的报告》的项目建设方案向旗人民政府申请批复。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具体内容为：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项目名称：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乌拉山镇三湖村基础设施建设项目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项目类型：小型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24"/>
          <w:lang w:val="en-US" w:eastAsia="zh-CN"/>
        </w:rPr>
        <w:t>基础</w:t>
      </w: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设施建设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项目实施地点：乌拉特前旗乌拉山镇三湖村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项目建设性质：新建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项目实施时间: 2024年6月-10月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项目责任单位及责任人：乌拉特前旗乌拉山镇人民政府肖俊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项目建设内容：建设过排干12个膜袋渡槽(包括配套口闸及盖板桥)，新建口闸3座，口闸一字板、护底、护坡、防水、制安等，及配套 300米排干路上砂。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资金规模：总投入资金52万元。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群众参与及受益对象：全部环节预计可带动农户755户1830 人。其中: 脱贫人口 11户 20人。</w:t>
      </w:r>
    </w:p>
    <w:p>
      <w:pPr>
        <w:wordWrap w:val="0"/>
        <w:spacing w:before="0" w:after="0" w:line="600" w:lineRule="atLeast"/>
        <w:ind w:left="0" w:right="100" w:firstLine="560"/>
        <w:jc w:val="both"/>
        <w:textAlignment w:val="baseline"/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</w:pPr>
      <w: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24"/>
        </w:rPr>
        <w:t>绩效目标：灌溉区由于涵管、 口闸损毁严重，以致浇灌季普遍出现严重漏水，甚至出现泉涌状泄水，致使水损严重；加之近年推行控水政策，水量有限，浇灌水时限紧，严重的水损导致周边农田不能得到有效浇灌，极大地降低了浇灌质量及效果，导致农牧民增加农业种植成本 200元/亩以上，土地不能得到有效灌溉而导致收入减少 100元/亩以上，而且每年因此产生的费用大，管水过程中增加群众人身意外的风险，农牧民苦不堪言。作为解决群众急难愁盼问题举措而实施该项目，彻底解决群众烦心事，更新和提升水利基础设施水平，大大提升应对自然灾害能力，减轻农牧民负担，稳定和提高村民收入水平，提升社会及经济效益成效显著。</w:t>
      </w:r>
    </w:p>
    <w:p>
      <w:pPr>
        <w:rPr>
          <w:rFonts w:ascii="仿宋" w:hAnsi="仿宋" w:eastAsia="仿宋" w:cs="仿宋"/>
          <w:b w:val="0"/>
          <w:i w:val="0"/>
          <w:strike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NDFhZjljY2UwMzRmMDkwZmNhZmYwZGMzNTQ4MzEifQ=="/>
  </w:docVars>
  <w:rsids>
    <w:rsidRoot w:val="251A2646"/>
    <w:rsid w:val="251A2646"/>
    <w:rsid w:val="4CF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988</Characters>
  <Lines>0</Lines>
  <Paragraphs>0</Paragraphs>
  <TotalTime>2</TotalTime>
  <ScaleCrop>false</ScaleCrop>
  <LinksUpToDate>false</LinksUpToDate>
  <CharactersWithSpaces>1002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2024-10-26T08:30:00Z</dcterms:created>
  <dc:creator>Aiopr</dc:creator>
  <cp:lastModifiedBy>大西几的wps</cp:lastModifiedBy>
  <dcterms:modified xsi:type="dcterms:W3CDTF">2024-11-04T01:58:31Z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79875E2F7788456E879B15210560C927</vt:lpwstr>
  </property>
</Properties>
</file>