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themeFill="background1"/>
        <w:spacing w:beforeAutospacing="0" w:afterAutospacing="0" w:line="450" w:lineRule="atLeast"/>
        <w:rPr>
          <w:rFonts w:ascii="微软雅黑" w:hAnsi="微软雅黑" w:eastAsia="微软雅黑" w:cs="微软雅黑"/>
          <w:color w:val="202020"/>
        </w:rPr>
      </w:pPr>
      <w:r>
        <w:rPr>
          <w:rFonts w:ascii="仿宋_GB2312" w:hAnsi="微软雅黑" w:eastAsia="仿宋_GB2312" w:cs="仿宋_GB2312"/>
          <w:color w:val="202020"/>
          <w:sz w:val="31"/>
          <w:szCs w:val="31"/>
        </w:rPr>
        <w:t>附件：评分标准</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492"/>
        <w:gridCol w:w="6117"/>
        <w:gridCol w:w="90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149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评分因素</w:t>
            </w:r>
          </w:p>
        </w:tc>
        <w:tc>
          <w:tcPr>
            <w:tcW w:w="611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评分标准</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分值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8516"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both"/>
            </w:pPr>
            <w:r>
              <w:rPr>
                <w:rFonts w:hint="eastAsia" w:ascii="宋体" w:hAnsi="宋体" w:eastAsia="宋体" w:cs="宋体"/>
              </w:rPr>
              <w:t>一、技术支撑能力及政府采购专职业务能力(15分)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94"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1、项目团队配置</w:t>
            </w:r>
          </w:p>
        </w:tc>
        <w:tc>
          <w:tcPr>
            <w:tcW w:w="611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ind w:firstLine="480"/>
            </w:pPr>
            <w:r>
              <w:rPr>
                <w:rFonts w:hint="eastAsia" w:ascii="宋体" w:hAnsi="宋体" w:eastAsia="宋体" w:cs="宋体"/>
              </w:rPr>
              <w:t>投标人配备熟悉政府采购法律法规、具备编制采购文件和组织采购活动等相应能力的专职从业人员负责我单位的招标项目的，每一人得2分，满分得12分。</w:t>
            </w:r>
          </w:p>
          <w:p>
            <w:pPr>
              <w:pStyle w:val="3"/>
              <w:widowControl/>
              <w:spacing w:beforeAutospacing="0" w:afterAutospacing="0"/>
              <w:ind w:firstLine="480"/>
            </w:pPr>
            <w:r>
              <w:rPr>
                <w:rFonts w:hint="eastAsia" w:ascii="宋体" w:hAnsi="宋体" w:eastAsia="宋体" w:cs="宋体"/>
              </w:rPr>
              <w:t>注:项目团队人员须同时提供人员清单及社保部门出具的2024年1-3月份（或2023年9-12月份）的社保缴纳证明文件、劳动合同，政府采购法律法规相关培训证书，缺其中一项不得分，并加盖招标代理机构公章。</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23"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2、专职业务能力</w:t>
            </w:r>
          </w:p>
        </w:tc>
        <w:tc>
          <w:tcPr>
            <w:tcW w:w="611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ind w:firstLine="480"/>
            </w:pPr>
            <w:r>
              <w:rPr>
                <w:rFonts w:hint="eastAsia" w:ascii="宋体" w:hAnsi="宋体" w:eastAsia="宋体" w:cs="宋体"/>
              </w:rPr>
              <w:t>投标人上一年度（2023年度）</w:t>
            </w:r>
          </w:p>
          <w:p>
            <w:pPr>
              <w:pStyle w:val="3"/>
              <w:widowControl/>
              <w:spacing w:beforeAutospacing="0" w:afterAutospacing="0"/>
              <w:ind w:firstLine="480"/>
            </w:pPr>
            <w:r>
              <w:rPr>
                <w:rFonts w:hint="eastAsia" w:ascii="宋体" w:hAnsi="宋体" w:eastAsia="宋体" w:cs="宋体"/>
              </w:rPr>
              <w:t>以招标代理为主营业务且年度收入均为主营业务收入的得3分；</w:t>
            </w:r>
          </w:p>
          <w:p>
            <w:pPr>
              <w:pStyle w:val="3"/>
              <w:widowControl/>
              <w:spacing w:beforeAutospacing="0" w:afterAutospacing="0"/>
              <w:ind w:firstLine="480"/>
              <w:rPr>
                <w:rFonts w:eastAsia="宋体"/>
              </w:rPr>
            </w:pPr>
            <w:r>
              <w:rPr>
                <w:rFonts w:hint="eastAsia" w:ascii="宋体" w:hAnsi="宋体" w:eastAsia="宋体" w:cs="宋体"/>
              </w:rPr>
              <w:t>招标代理业务收入占总收入的60%-100%（不含）的得2分；</w:t>
            </w:r>
          </w:p>
          <w:p>
            <w:pPr>
              <w:pStyle w:val="3"/>
              <w:widowControl/>
              <w:spacing w:beforeAutospacing="0" w:afterAutospacing="0"/>
              <w:ind w:firstLine="480"/>
            </w:pPr>
            <w:r>
              <w:rPr>
                <w:rFonts w:hint="eastAsia" w:ascii="宋体" w:hAnsi="宋体" w:eastAsia="宋体" w:cs="宋体"/>
              </w:rPr>
              <w:t>招标代理业务收入占总收入的40%-60%（不含）的得1分，其他不得分。</w:t>
            </w:r>
          </w:p>
          <w:p>
            <w:pPr>
              <w:pStyle w:val="3"/>
              <w:widowControl/>
              <w:spacing w:beforeAutospacing="0" w:afterAutospacing="0"/>
              <w:ind w:firstLine="480"/>
            </w:pPr>
            <w:r>
              <w:rPr>
                <w:rFonts w:hint="eastAsia" w:ascii="宋体" w:hAnsi="宋体" w:eastAsia="宋体" w:cs="宋体"/>
              </w:rPr>
              <w:t>注：提供2023年度（或2022年度）经第三方审计机构出具的财务审计报告。</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516"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二、服务方案及管理制度(40分)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85"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1、招标代理服务方案</w:t>
            </w:r>
          </w:p>
        </w:tc>
        <w:tc>
          <w:tcPr>
            <w:tcW w:w="611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both"/>
            </w:pPr>
            <w:r>
              <w:rPr>
                <w:rFonts w:hint="eastAsia" w:ascii="宋体" w:hAnsi="宋体" w:eastAsia="宋体" w:cs="宋体"/>
              </w:rPr>
              <w:t>（1）是否有服务工作计划，且是否满足本项目要求。（0-4分）</w:t>
            </w:r>
          </w:p>
          <w:p>
            <w:pPr>
              <w:pStyle w:val="3"/>
              <w:widowControl/>
              <w:spacing w:beforeAutospacing="0" w:afterAutospacing="0"/>
              <w:jc w:val="both"/>
            </w:pPr>
            <w:r>
              <w:rPr>
                <w:rFonts w:hint="eastAsia" w:ascii="宋体" w:hAnsi="宋体" w:eastAsia="宋体" w:cs="宋体"/>
              </w:rPr>
              <w:t>（2）是否有各岗位分布，且是否满足本项目要求。（0-4分）</w:t>
            </w:r>
          </w:p>
          <w:p>
            <w:pPr>
              <w:pStyle w:val="3"/>
              <w:widowControl/>
              <w:spacing w:beforeAutospacing="0" w:afterAutospacing="0"/>
              <w:jc w:val="both"/>
            </w:pPr>
            <w:r>
              <w:rPr>
                <w:rFonts w:hint="eastAsia" w:ascii="宋体" w:hAnsi="宋体" w:eastAsia="宋体" w:cs="宋体"/>
              </w:rPr>
              <w:t>（3）是否有工作流程，且是否满足本项目要求。（0-4分）</w:t>
            </w:r>
          </w:p>
          <w:p>
            <w:pPr>
              <w:pStyle w:val="3"/>
              <w:widowControl/>
              <w:spacing w:beforeAutospacing="0" w:afterAutospacing="0"/>
            </w:pPr>
            <w:r>
              <w:rPr>
                <w:rFonts w:hint="eastAsia" w:ascii="宋体" w:hAnsi="宋体" w:eastAsia="宋体" w:cs="宋体"/>
              </w:rPr>
              <w:t>（4）是否有质量保证措施。（0—4分）</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63"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2、管理制度</w:t>
            </w:r>
          </w:p>
        </w:tc>
        <w:tc>
          <w:tcPr>
            <w:tcW w:w="611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both"/>
            </w:pPr>
            <w:r>
              <w:rPr>
                <w:rFonts w:hint="eastAsia" w:ascii="宋体" w:hAnsi="宋体" w:eastAsia="宋体" w:cs="宋体"/>
              </w:rPr>
              <w:t>对企业的管理制度：业务流程制度、内控制度、档案管理制度、财务制度等全面性、可行性进行评分。</w:t>
            </w:r>
          </w:p>
          <w:p>
            <w:pPr>
              <w:pStyle w:val="3"/>
              <w:widowControl/>
              <w:spacing w:beforeAutospacing="0" w:afterAutospacing="0"/>
            </w:pPr>
            <w:r>
              <w:rPr>
                <w:rFonts w:hint="eastAsia" w:ascii="宋体" w:hAnsi="宋体" w:eastAsia="宋体" w:cs="宋体"/>
              </w:rPr>
              <w:t>全面合理有效的得4-6分，基本可行的得2-3分，有欠缺的得1分，其余及未提供的不得分。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33"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3、合理化建议</w:t>
            </w:r>
          </w:p>
        </w:tc>
        <w:tc>
          <w:tcPr>
            <w:tcW w:w="611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both"/>
            </w:pPr>
            <w:r>
              <w:rPr>
                <w:rFonts w:hint="eastAsia" w:ascii="宋体" w:hAnsi="宋体" w:eastAsia="宋体" w:cs="宋体"/>
              </w:rPr>
              <w:t>根据投标文件提供的合理化建议进行评分：</w:t>
            </w:r>
          </w:p>
          <w:p>
            <w:pPr>
              <w:pStyle w:val="3"/>
              <w:widowControl/>
              <w:spacing w:beforeAutospacing="0" w:afterAutospacing="0"/>
              <w:jc w:val="both"/>
            </w:pPr>
            <w:r>
              <w:rPr>
                <w:rFonts w:hint="eastAsia" w:ascii="宋体" w:hAnsi="宋体" w:eastAsia="宋体" w:cs="宋体"/>
              </w:rPr>
              <w:t>（1）招标代理重点、难点分析合理符合实际，得0-3分。</w:t>
            </w:r>
          </w:p>
          <w:p>
            <w:pPr>
              <w:pStyle w:val="3"/>
              <w:widowControl/>
              <w:spacing w:beforeAutospacing="0" w:afterAutospacing="0"/>
              <w:jc w:val="both"/>
            </w:pPr>
            <w:r>
              <w:rPr>
                <w:rFonts w:hint="eastAsia" w:ascii="宋体" w:hAnsi="宋体" w:eastAsia="宋体" w:cs="宋体"/>
              </w:rPr>
              <w:t>（2）解决措施切实可行，得0-3分。</w:t>
            </w:r>
          </w:p>
          <w:p>
            <w:pPr>
              <w:pStyle w:val="3"/>
              <w:widowControl/>
              <w:spacing w:beforeAutospacing="0" w:afterAutospacing="0"/>
              <w:rPr>
                <w:rFonts w:ascii="宋体" w:hAnsi="宋体" w:eastAsia="宋体" w:cs="宋体"/>
              </w:rPr>
            </w:pPr>
            <w:r>
              <w:rPr>
                <w:rFonts w:hint="eastAsia" w:ascii="宋体" w:hAnsi="宋体" w:eastAsia="宋体" w:cs="宋体"/>
              </w:rPr>
              <w:t>最多得6分，不提供则不得分。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rPr>
                <w:rFonts w:ascii="宋体" w:hAnsi="宋体" w:eastAsia="宋体" w:cs="宋体"/>
              </w:rPr>
            </w:pPr>
            <w:r>
              <w:rPr>
                <w:rFonts w:hint="eastAsia" w:ascii="宋体" w:hAnsi="宋体" w:eastAsia="宋体" w:cs="宋体"/>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1"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4、服务响应</w:t>
            </w:r>
          </w:p>
        </w:tc>
        <w:tc>
          <w:tcPr>
            <w:tcW w:w="611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投标单位承诺在2小时内响应的得6分，4小时以内响应的得4分，6小时以内得2分，超出6小时不得分。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40" w:hRule="atLeast"/>
          <w:jc w:val="center"/>
        </w:trPr>
        <w:tc>
          <w:tcPr>
            <w:tcW w:w="149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5、问询、质疑、投诉的应对措施及解决方案</w:t>
            </w:r>
          </w:p>
        </w:tc>
        <w:tc>
          <w:tcPr>
            <w:tcW w:w="611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投标人提供的针对代理过程中出现的问询、质疑、投诉的应对措施及解决方案，流程及时间节点把控准确，措施得当得1-6分，有欠缺不得分。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8516"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三、业绩(20分)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32" w:hRule="atLeast"/>
          <w:jc w:val="center"/>
        </w:trPr>
        <w:tc>
          <w:tcPr>
            <w:tcW w:w="1492"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业绩</w:t>
            </w:r>
          </w:p>
        </w:tc>
        <w:tc>
          <w:tcPr>
            <w:tcW w:w="6117"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3"/>
              <w:widowControl/>
              <w:spacing w:beforeAutospacing="0" w:afterAutospacing="0"/>
            </w:pPr>
            <w:r>
              <w:rPr>
                <w:rFonts w:hint="eastAsia" w:ascii="宋体" w:hAnsi="宋体" w:eastAsia="宋体" w:cs="宋体"/>
              </w:rPr>
              <w:t>投标人提供近两年招标代理服务业绩，每提供1份证明材料得1分，最高得20分。（需提供网站截图或中标通知书或委托代理协议）</w:t>
            </w:r>
          </w:p>
        </w:tc>
        <w:tc>
          <w:tcPr>
            <w:tcW w:w="907"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pPr>
            <w:r>
              <w:rPr>
                <w:rFonts w:hint="eastAsia" w:ascii="宋体" w:hAnsi="宋体" w:eastAsia="宋体" w:cs="宋体"/>
              </w:rPr>
              <w:t>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1" w:hRule="atLeast"/>
          <w:jc w:val="center"/>
        </w:trPr>
        <w:tc>
          <w:tcPr>
            <w:tcW w:w="8516"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widowControl/>
              <w:spacing w:beforeAutospacing="0" w:afterAutospacing="0"/>
              <w:rPr>
                <w:rFonts w:ascii="宋体" w:hAnsi="宋体" w:eastAsia="宋体" w:cs="宋体"/>
              </w:rPr>
            </w:pPr>
            <w:r>
              <w:rPr>
                <w:rFonts w:hint="eastAsia" w:ascii="宋体" w:hAnsi="宋体" w:eastAsia="宋体" w:cs="宋体"/>
              </w:rPr>
              <w:t>四、招标代理服务费（25分）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4" w:hRule="atLeast"/>
          <w:jc w:val="center"/>
        </w:trPr>
        <w:tc>
          <w:tcPr>
            <w:tcW w:w="1492"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spacing w:line="310" w:lineRule="exact"/>
              <w:jc w:val="center"/>
              <w:rPr>
                <w:rFonts w:ascii="宋体" w:hAnsi="宋体" w:eastAsia="宋体" w:cs="宋体"/>
                <w:sz w:val="24"/>
                <w:szCs w:val="24"/>
              </w:rPr>
            </w:pPr>
            <w:r>
              <w:rPr>
                <w:rFonts w:hint="eastAsia" w:ascii="宋体" w:hAnsi="宋体"/>
                <w:kern w:val="2"/>
                <w:sz w:val="22"/>
                <w:szCs w:val="22"/>
              </w:rPr>
              <w:t>1、评标基准价计算方法</w:t>
            </w:r>
          </w:p>
        </w:tc>
        <w:tc>
          <w:tcPr>
            <w:tcW w:w="6117"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rPr>
                <w:rFonts w:ascii="宋体" w:hAnsi="宋体"/>
                <w:sz w:val="22"/>
                <w:szCs w:val="22"/>
              </w:rPr>
            </w:pPr>
            <w:r>
              <w:rPr>
                <w:rFonts w:hint="eastAsia" w:ascii="宋体" w:hAnsi="宋体"/>
                <w:sz w:val="22"/>
                <w:szCs w:val="22"/>
              </w:rPr>
              <w:t>1.若“有效投标≤7家”时，为所有有效投标报价的算术平均值。</w:t>
            </w:r>
          </w:p>
          <w:p>
            <w:pPr>
              <w:pStyle w:val="2"/>
              <w:rPr>
                <w:rFonts w:ascii="宋体" w:hAnsi="宋体"/>
                <w:sz w:val="22"/>
                <w:szCs w:val="22"/>
              </w:rPr>
            </w:pPr>
            <w:r>
              <w:rPr>
                <w:rFonts w:hint="eastAsia" w:ascii="宋体" w:hAnsi="宋体"/>
                <w:sz w:val="22"/>
                <w:szCs w:val="22"/>
              </w:rPr>
              <w:t>2.若“7家＜有效投标≤11家”时，为所有有效投标的投标报价中，去掉1个最高报价和1个最低报价后的算术平均值。</w:t>
            </w:r>
          </w:p>
          <w:p>
            <w:pPr>
              <w:pStyle w:val="2"/>
              <w:rPr>
                <w:rFonts w:ascii="宋体" w:hAnsi="宋体"/>
                <w:sz w:val="22"/>
                <w:szCs w:val="22"/>
              </w:rPr>
            </w:pPr>
            <w:r>
              <w:rPr>
                <w:rFonts w:hint="eastAsia" w:ascii="宋体" w:hAnsi="宋体"/>
                <w:sz w:val="22"/>
                <w:szCs w:val="22"/>
              </w:rPr>
              <w:t>3.若“11家＜有效投标≤15家”时，为所有有效投标的投标报价中，去掉2个最高报价和2个最低报价后的算术平均值。</w:t>
            </w:r>
          </w:p>
          <w:p>
            <w:pPr>
              <w:pStyle w:val="2"/>
              <w:rPr>
                <w:rFonts w:ascii="宋体" w:hAnsi="宋体"/>
                <w:sz w:val="22"/>
                <w:szCs w:val="22"/>
              </w:rPr>
            </w:pPr>
            <w:r>
              <w:rPr>
                <w:rFonts w:hint="eastAsia" w:ascii="宋体" w:hAnsi="宋体"/>
                <w:sz w:val="22"/>
                <w:szCs w:val="22"/>
              </w:rPr>
              <w:t>4.若＞“有效投标15家”时，为所有有效投标的投标报价中，去掉3个最高报价和3个最低报价后的算术平均值。</w:t>
            </w:r>
          </w:p>
          <w:p>
            <w:pPr>
              <w:pStyle w:val="2"/>
              <w:rPr>
                <w:rFonts w:ascii="宋体" w:hAnsi="宋体" w:eastAsia="宋体" w:cs="宋体"/>
                <w:sz w:val="24"/>
                <w:szCs w:val="24"/>
              </w:rPr>
            </w:pPr>
            <w:r>
              <w:rPr>
                <w:rFonts w:hint="eastAsia" w:ascii="宋体" w:hAnsi="宋体"/>
                <w:sz w:val="22"/>
                <w:szCs w:val="22"/>
              </w:rPr>
              <w:t>以此类推。</w:t>
            </w:r>
          </w:p>
        </w:tc>
        <w:tc>
          <w:tcPr>
            <w:tcW w:w="907" w:type="dxa"/>
            <w:vMerge w:val="restart"/>
            <w:tcBorders>
              <w:top w:val="single" w:color="auto" w:sz="4" w:space="0"/>
              <w:left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rPr>
                <w:rFonts w:ascii="宋体" w:hAnsi="宋体" w:eastAsia="宋体" w:cs="宋体"/>
              </w:rPr>
            </w:pPr>
            <w:r>
              <w:rPr>
                <w:rFonts w:hint="eastAsia" w:ascii="宋体" w:hAnsi="宋体" w:eastAsia="宋体" w:cs="宋体"/>
              </w:rPr>
              <w:t>25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78" w:hRule="atLeast"/>
          <w:jc w:val="center"/>
        </w:trPr>
        <w:tc>
          <w:tcPr>
            <w:tcW w:w="1492"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spacing w:line="310" w:lineRule="exact"/>
              <w:jc w:val="center"/>
              <w:rPr>
                <w:rFonts w:ascii="宋体" w:hAnsi="宋体" w:eastAsia="宋体" w:cs="宋体"/>
                <w:sz w:val="24"/>
                <w:szCs w:val="24"/>
              </w:rPr>
            </w:pPr>
            <w:r>
              <w:rPr>
                <w:rFonts w:hint="eastAsia" w:ascii="宋体" w:hAnsi="宋体"/>
                <w:kern w:val="2"/>
                <w:sz w:val="22"/>
                <w:szCs w:val="22"/>
              </w:rPr>
              <w:t>2、投标报价的偏差率计算公式</w:t>
            </w:r>
          </w:p>
        </w:tc>
        <w:tc>
          <w:tcPr>
            <w:tcW w:w="6117"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rPr>
                <w:rFonts w:ascii="宋体" w:hAnsi="宋体" w:eastAsia="宋体" w:cs="宋体"/>
                <w:sz w:val="24"/>
                <w:szCs w:val="24"/>
              </w:rPr>
            </w:pPr>
            <w:r>
              <w:rPr>
                <w:rFonts w:hint="eastAsia" w:ascii="宋体" w:hAnsi="宋体"/>
                <w:kern w:val="2"/>
                <w:sz w:val="22"/>
                <w:szCs w:val="22"/>
              </w:rPr>
              <w:t>偏差率=100%×(投标人报价-评标基准价)/评标基准价</w:t>
            </w:r>
          </w:p>
        </w:tc>
        <w:tc>
          <w:tcPr>
            <w:tcW w:w="907" w:type="dxa"/>
            <w:vMerge w:val="continue"/>
            <w:tcBorders>
              <w:left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rPr>
                <w:rFonts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50" w:hRule="atLeast"/>
          <w:jc w:val="center"/>
        </w:trPr>
        <w:tc>
          <w:tcPr>
            <w:tcW w:w="1492" w:type="dxa"/>
            <w:tcBorders>
              <w:top w:val="single" w:color="auto" w:sz="4"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spacing w:line="360" w:lineRule="exact"/>
              <w:jc w:val="center"/>
              <w:rPr>
                <w:rFonts w:ascii="宋体" w:hAnsi="宋体" w:eastAsia="宋体" w:cs="宋体"/>
                <w:sz w:val="24"/>
                <w:szCs w:val="24"/>
              </w:rPr>
            </w:pPr>
            <w:r>
              <w:rPr>
                <w:rFonts w:hint="eastAsia" w:ascii="宋体" w:hAnsi="宋体" w:cs="宋体"/>
                <w:sz w:val="22"/>
                <w:szCs w:val="22"/>
              </w:rPr>
              <w:t>3、投标报价得分</w:t>
            </w:r>
          </w:p>
        </w:tc>
        <w:tc>
          <w:tcPr>
            <w:tcW w:w="6117" w:type="dxa"/>
            <w:tcBorders>
              <w:top w:val="single" w:color="auto" w:sz="4"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jc w:val="left"/>
              <w:rPr>
                <w:rFonts w:ascii="宋体" w:hAnsi="宋体" w:eastAsia="宋体" w:cs="宋体"/>
                <w:sz w:val="24"/>
                <w:szCs w:val="24"/>
              </w:rPr>
            </w:pPr>
            <w:r>
              <w:rPr>
                <w:rFonts w:hint="eastAsia" w:ascii="宋体" w:hAnsi="宋体" w:cs="宋体"/>
                <w:sz w:val="22"/>
                <w:szCs w:val="22"/>
              </w:rPr>
              <w:t>以评标基准价为基数，投标报价与评标基准价一致得25分，比评标基准价每低1%以25分为基数扣减2分，比评标基准价每高1%以25分为基数扣减2分，扣完为止。</w:t>
            </w:r>
          </w:p>
        </w:tc>
        <w:tc>
          <w:tcPr>
            <w:tcW w:w="907"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pPr>
              <w:pStyle w:val="3"/>
              <w:widowControl/>
              <w:spacing w:beforeAutospacing="0" w:afterAutospacing="0"/>
              <w:jc w:val="center"/>
              <w:rPr>
                <w:rFonts w:ascii="宋体" w:hAnsi="宋体" w:eastAsia="宋体" w:cs="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A5059"/>
    <w:rsid w:val="140A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kern w:val="0"/>
      <w:sz w:val="20"/>
      <w:szCs w:val="20"/>
    </w:r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2024-04-15T09:32:00Z</dcterms:created>
  <dc:creator>Lenovo</dc:creator>
  <cp:lastModifiedBy>Lenovo</cp:lastModifiedBy>
  <dcterms:modified xsi:type="dcterms:W3CDTF">2024-04-15T09:34:38Z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