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59E" w:rsidRDefault="001A459E" w:rsidP="001A459E">
      <w:pPr>
        <w:jc w:val="center"/>
        <w:rPr>
          <w:rFonts w:ascii="宋体" w:hAnsi="宋体"/>
          <w:sz w:val="32"/>
          <w:szCs w:val="32"/>
        </w:rPr>
      </w:pPr>
    </w:p>
    <w:p w:rsidR="001A459E" w:rsidRDefault="001A459E" w:rsidP="001A459E">
      <w:pPr>
        <w:jc w:val="center"/>
        <w:rPr>
          <w:rFonts w:ascii="宋体" w:hAnsi="宋体" w:hint="eastAsia"/>
          <w:sz w:val="32"/>
          <w:szCs w:val="32"/>
        </w:rPr>
      </w:pPr>
    </w:p>
    <w:p w:rsidR="001A459E" w:rsidRDefault="001A459E" w:rsidP="001A459E">
      <w:pPr>
        <w:jc w:val="center"/>
        <w:rPr>
          <w:rFonts w:ascii="宋体" w:hAnsi="宋体" w:hint="eastAsia"/>
          <w:sz w:val="32"/>
          <w:szCs w:val="32"/>
        </w:rPr>
      </w:pPr>
    </w:p>
    <w:p w:rsidR="001A459E" w:rsidRDefault="001A459E" w:rsidP="001A459E">
      <w:pPr>
        <w:jc w:val="center"/>
        <w:rPr>
          <w:rFonts w:ascii="宋体" w:hAnsi="宋体" w:hint="eastAsia"/>
          <w:sz w:val="32"/>
          <w:szCs w:val="32"/>
        </w:rPr>
      </w:pPr>
    </w:p>
    <w:p w:rsidR="001A459E" w:rsidRDefault="001A459E" w:rsidP="001A459E">
      <w:pPr>
        <w:jc w:val="center"/>
        <w:rPr>
          <w:rFonts w:ascii="宋体" w:hAnsi="宋体" w:hint="eastAsia"/>
          <w:sz w:val="32"/>
          <w:szCs w:val="32"/>
        </w:rPr>
      </w:pPr>
    </w:p>
    <w:p w:rsidR="001A459E" w:rsidRDefault="001A459E" w:rsidP="001A459E">
      <w:pPr>
        <w:jc w:val="center"/>
        <w:rPr>
          <w:rFonts w:ascii="宋体" w:hAnsi="宋体" w:hint="eastAsia"/>
          <w:sz w:val="32"/>
          <w:szCs w:val="32"/>
        </w:rPr>
      </w:pPr>
    </w:p>
    <w:p w:rsidR="001A459E" w:rsidRDefault="001A459E" w:rsidP="001A459E">
      <w:pPr>
        <w:jc w:val="center"/>
        <w:rPr>
          <w:rFonts w:ascii="宋体" w:hAnsi="宋体" w:hint="eastAsia"/>
          <w:sz w:val="24"/>
        </w:rPr>
      </w:pPr>
    </w:p>
    <w:p w:rsidR="001A459E" w:rsidRDefault="001A459E" w:rsidP="001A459E">
      <w:pPr>
        <w:jc w:val="center"/>
        <w:rPr>
          <w:rFonts w:ascii="宋体" w:hAnsi="宋体" w:hint="eastAsia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乌环表</w:t>
      </w:r>
      <w:proofErr w:type="gramEnd"/>
      <w:r>
        <w:rPr>
          <w:rFonts w:ascii="宋体" w:hAnsi="宋体" w:hint="eastAsia"/>
          <w:sz w:val="32"/>
          <w:szCs w:val="32"/>
        </w:rPr>
        <w:t xml:space="preserve">[2016]37号 </w:t>
      </w:r>
    </w:p>
    <w:p w:rsidR="001A459E" w:rsidRDefault="001A459E" w:rsidP="001A459E">
      <w:pPr>
        <w:jc w:val="center"/>
        <w:rPr>
          <w:rFonts w:ascii="宋体" w:hAnsi="宋体" w:hint="eastAsia"/>
          <w:sz w:val="32"/>
          <w:szCs w:val="32"/>
        </w:rPr>
      </w:pPr>
    </w:p>
    <w:p w:rsidR="001A459E" w:rsidRDefault="001A459E" w:rsidP="001A459E">
      <w:pPr>
        <w:autoSpaceDE w:val="0"/>
        <w:autoSpaceDN w:val="0"/>
        <w:adjustRightInd w:val="0"/>
        <w:ind w:firstLineChars="150" w:firstLine="663"/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</w:pPr>
      <w:r w:rsidRPr="001A459E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内蒙古坤泽塑胶有限责任公司年产</w:t>
      </w:r>
    </w:p>
    <w:p w:rsidR="001A459E" w:rsidRDefault="001A459E" w:rsidP="001A459E">
      <w:pPr>
        <w:autoSpaceDE w:val="0"/>
        <w:autoSpaceDN w:val="0"/>
        <w:adjustRightInd w:val="0"/>
        <w:ind w:left="1966" w:hangingChars="445" w:hanging="1966"/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</w:pPr>
      <w:r w:rsidRPr="001A459E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6000万米单翼迷宫式</w:t>
      </w:r>
      <w:proofErr w:type="gramStart"/>
      <w:r w:rsidRPr="001A459E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滴灌带</w:t>
      </w:r>
      <w:proofErr w:type="gramEnd"/>
      <w:r w:rsidRPr="001A459E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生产项目环境影响报告表审批意见</w:t>
      </w:r>
    </w:p>
    <w:p w:rsidR="001A459E" w:rsidRPr="001A459E" w:rsidRDefault="001A459E" w:rsidP="001A459E">
      <w:pPr>
        <w:autoSpaceDE w:val="0"/>
        <w:autoSpaceDN w:val="0"/>
        <w:adjustRightInd w:val="0"/>
        <w:ind w:left="1958" w:hangingChars="445" w:hanging="1958"/>
        <w:rPr>
          <w:rFonts w:asciiTheme="majorEastAsia" w:eastAsiaTheme="majorEastAsia" w:hAnsiTheme="majorEastAsia" w:hint="eastAsia"/>
          <w:kern w:val="0"/>
          <w:sz w:val="44"/>
          <w:szCs w:val="44"/>
        </w:rPr>
      </w:pPr>
    </w:p>
    <w:p w:rsidR="001A459E" w:rsidRPr="001A459E" w:rsidRDefault="001A459E" w:rsidP="001A459E">
      <w:pPr>
        <w:autoSpaceDE w:val="0"/>
        <w:autoSpaceDN w:val="0"/>
        <w:adjustRightInd w:val="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A459E">
        <w:rPr>
          <w:rFonts w:ascii="仿宋_GB2312" w:eastAsia="仿宋_GB2312" w:hint="eastAsia"/>
          <w:sz w:val="32"/>
          <w:szCs w:val="32"/>
        </w:rPr>
        <w:t>内蒙古坤泽塑胶有限责任公司</w:t>
      </w: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1A459E" w:rsidRPr="001A459E" w:rsidRDefault="001A459E" w:rsidP="001A459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你公司报送的《</w:t>
      </w:r>
      <w:r w:rsidRPr="001A459E">
        <w:rPr>
          <w:rFonts w:ascii="仿宋_GB2312" w:eastAsia="仿宋_GB2312" w:hint="eastAsia"/>
          <w:sz w:val="32"/>
          <w:szCs w:val="32"/>
        </w:rPr>
        <w:t>内蒙古坤泽塑胶有限责任公司年产6000万米单翼迷宫式滴灌带生产项目</w:t>
      </w: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环境影响报告表》（以下简称《报告表》）收悉。经审查，批复如下：</w:t>
      </w:r>
    </w:p>
    <w:p w:rsidR="001A459E" w:rsidRPr="001A459E" w:rsidRDefault="001A459E" w:rsidP="001A459E">
      <w:pPr>
        <w:autoSpaceDE w:val="0"/>
        <w:autoSpaceDN w:val="0"/>
        <w:adjustRightInd w:val="0"/>
        <w:ind w:firstLineChars="200" w:firstLine="640"/>
        <w:jc w:val="left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一、项目位于</w:t>
      </w:r>
      <w:r w:rsidRPr="001A459E">
        <w:rPr>
          <w:rFonts w:ascii="仿宋_GB2312" w:eastAsia="仿宋_GB2312" w:hint="eastAsia"/>
          <w:bCs/>
          <w:color w:val="000000"/>
          <w:sz w:val="32"/>
          <w:szCs w:val="32"/>
        </w:rPr>
        <w:t>乌拉特前旗</w:t>
      </w:r>
      <w:r w:rsidRPr="001A459E">
        <w:rPr>
          <w:rFonts w:ascii="仿宋_GB2312" w:eastAsia="仿宋_GB2312" w:hint="eastAsia"/>
          <w:sz w:val="32"/>
          <w:szCs w:val="32"/>
        </w:rPr>
        <w:t>乌拉特前旗桥南</w:t>
      </w: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，坐标为</w:t>
      </w:r>
      <w:r w:rsidRPr="001A459E">
        <w:rPr>
          <w:rFonts w:ascii="仿宋_GB2312" w:eastAsia="仿宋_GB2312" w:hint="eastAsia"/>
          <w:bCs/>
          <w:sz w:val="32"/>
          <w:szCs w:val="32"/>
        </w:rPr>
        <w:t>东经：108°41'2.96"，北纬40°41'39.91"</w:t>
      </w:r>
      <w:r w:rsidRPr="001A459E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  <w:r w:rsidRPr="001A459E">
        <w:rPr>
          <w:rFonts w:ascii="仿宋_GB2312" w:eastAsia="仿宋_GB2312" w:hint="eastAsia"/>
          <w:sz w:val="32"/>
          <w:szCs w:val="32"/>
        </w:rPr>
        <w:t>新建2条年产6000万米单翼迷宫式</w:t>
      </w:r>
      <w:proofErr w:type="gramStart"/>
      <w:r w:rsidRPr="001A459E">
        <w:rPr>
          <w:rFonts w:ascii="仿宋_GB2312" w:eastAsia="仿宋_GB2312" w:hint="eastAsia"/>
          <w:sz w:val="32"/>
          <w:szCs w:val="32"/>
        </w:rPr>
        <w:t>滴灌带</w:t>
      </w:r>
      <w:proofErr w:type="gramEnd"/>
      <w:r w:rsidRPr="001A459E">
        <w:rPr>
          <w:rFonts w:ascii="仿宋_GB2312" w:eastAsia="仿宋_GB2312" w:hint="eastAsia"/>
          <w:sz w:val="32"/>
          <w:szCs w:val="32"/>
        </w:rPr>
        <w:t>生产线</w:t>
      </w:r>
      <w:r w:rsidRPr="001A459E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A459E" w:rsidRPr="001A459E" w:rsidRDefault="001A459E" w:rsidP="001A459E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根据《报告表》结论，项目在落实《报告表》提出的污染防治措施后，项目建设产生的环境不利影响能够得到缓解和控制。从环保角度分析，我局原则同意按照《报告表》中</w:t>
      </w: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所列的建设项目性质、规模、地点、生产工艺、环境保护对策措施进行建设。</w:t>
      </w:r>
    </w:p>
    <w:p w:rsidR="001A459E" w:rsidRPr="001A459E" w:rsidRDefault="001A459E" w:rsidP="001A459E">
      <w:pPr>
        <w:autoSpaceDE w:val="0"/>
        <w:autoSpaceDN w:val="0"/>
        <w:adjustRightInd w:val="0"/>
        <w:ind w:firstLineChars="200" w:firstLine="640"/>
        <w:jc w:val="left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二、项目建设与运行应注意做好以下工作：</w:t>
      </w:r>
    </w:p>
    <w:p w:rsidR="001A459E" w:rsidRPr="001A459E" w:rsidRDefault="001A459E" w:rsidP="001A459E">
      <w:pPr>
        <w:pStyle w:val="a3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  <w:highlight w:val="yellow"/>
        </w:rPr>
      </w:pP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1、认真落实施工期的污染防治措施和生态保护措施。施工时应将表土层集中堆放并进行临时防护。施工场地四周设置施工屏障，粉状物料进行苫盖；对易产生扬尘的作业面（点）和道路洒水抑尘，运输车辆进行苫盖。施工场地建防渗沉淀池，施工废水、经沉淀后回用。选用低噪声的施工机械，合理布置施工场地，施工噪声应满足《建筑施工厂界噪声限值》（GB12523-2011）要求。施工过程产生的建筑固废运送到指定地点，生活垃圾由环卫部门集中收集。</w:t>
      </w:r>
    </w:p>
    <w:p w:rsidR="001A459E" w:rsidRPr="001A459E" w:rsidRDefault="001A459E" w:rsidP="001A459E">
      <w:pPr>
        <w:tabs>
          <w:tab w:val="left" w:pos="0"/>
        </w:tabs>
        <w:ind w:firstLineChars="204" w:firstLine="65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2、认真落实《报告表》提出的运营期各项污染防治措施。营运期冷却水经收集沉淀后循环使用不外排；生活污水散</w:t>
      </w:r>
      <w:proofErr w:type="gramStart"/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排抑尘</w:t>
      </w:r>
      <w:proofErr w:type="gramEnd"/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。生产废气经集气装置收集、活性炭净化处理后经15m高排气筒达标排放，非甲烷总烃浓度满足《大气污染物综合排放标准》(GB16297-1996)二级标准及厂界无组织排放监控浓度限值，不得对周围环境敏感目标产生影响。选用低噪声设备，并采取妥善的减振、隔声和消声等噪声控制措施，确保厂界噪声满足《工业企业厂界环境噪声排放标准》(GB12348-2008)中2类标准。严格按照《一般工业固体废物贮存、处置场污染控制标准》(GB18599-2001)要求建设一般固废储存库，废活性炭安全处置，生活垃圾收集后集中清运</w:t>
      </w: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到指定地点。</w:t>
      </w:r>
    </w:p>
    <w:p w:rsidR="001A459E" w:rsidRPr="001A459E" w:rsidRDefault="001A459E" w:rsidP="001A459E">
      <w:pPr>
        <w:pStyle w:val="Default"/>
        <w:ind w:firstLineChars="200" w:firstLine="640"/>
        <w:rPr>
          <w:rFonts w:hAnsi="宋体" w:cs="宋体" w:hint="eastAsia"/>
          <w:sz w:val="32"/>
          <w:szCs w:val="32"/>
        </w:rPr>
      </w:pPr>
      <w:r w:rsidRPr="001A459E">
        <w:rPr>
          <w:rFonts w:hAnsi="宋体" w:cs="宋体" w:hint="eastAsia"/>
          <w:sz w:val="32"/>
          <w:szCs w:val="32"/>
        </w:rPr>
        <w:t>3、项目建设必须严格执行环境保护“三同时”制度。项目试运行三个月内要按规定程序申请竣工环境保护验收，验收合格后方可正式生产。</w:t>
      </w:r>
    </w:p>
    <w:p w:rsidR="001A459E" w:rsidRDefault="001A459E" w:rsidP="001A459E">
      <w:pPr>
        <w:snapToGrid w:val="0"/>
        <w:spacing w:line="360" w:lineRule="auto"/>
        <w:ind w:firstLine="630"/>
        <w:jc w:val="left"/>
        <w:rPr>
          <w:rFonts w:ascii="仿宋_GB2312" w:eastAsia="仿宋_GB2312" w:hint="eastAsia"/>
          <w:sz w:val="32"/>
          <w:szCs w:val="32"/>
        </w:rPr>
      </w:pPr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4、项目建设和试运营期间的环境监督管理工作由乌拉特前</w:t>
      </w:r>
      <w:proofErr w:type="gramStart"/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旗环境</w:t>
      </w:r>
      <w:proofErr w:type="gramEnd"/>
      <w:r w:rsidRPr="001A459E">
        <w:rPr>
          <w:rFonts w:ascii="仿宋_GB2312" w:eastAsia="仿宋_GB2312" w:hAnsi="宋体" w:cs="宋体" w:hint="eastAsia"/>
          <w:kern w:val="0"/>
          <w:sz w:val="32"/>
          <w:szCs w:val="32"/>
        </w:rPr>
        <w:t>监察大队负责。</w:t>
      </w:r>
    </w:p>
    <w:p w:rsidR="001A459E" w:rsidRDefault="001A459E" w:rsidP="001A459E">
      <w:pPr>
        <w:snapToGrid w:val="0"/>
        <w:spacing w:line="360" w:lineRule="auto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1A459E" w:rsidRDefault="001A459E" w:rsidP="001A459E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1A459E" w:rsidRDefault="001A459E" w:rsidP="001A459E">
      <w:pPr>
        <w:snapToGrid w:val="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乌拉特前旗环境保护局</w:t>
      </w:r>
    </w:p>
    <w:p w:rsidR="009F07E2" w:rsidRDefault="001A459E" w:rsidP="001A459E">
      <w:r>
        <w:rPr>
          <w:rFonts w:ascii="仿宋_GB2312" w:eastAsia="仿宋_GB2312" w:hint="eastAsia"/>
          <w:kern w:val="0"/>
          <w:sz w:val="32"/>
          <w:szCs w:val="32"/>
        </w:rPr>
        <w:t xml:space="preserve">                                  2016年12 月22日</w:t>
      </w:r>
    </w:p>
    <w:sectPr w:rsidR="009F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59E"/>
    <w:rsid w:val="001A459E"/>
    <w:rsid w:val="009F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1A459E"/>
    <w:pPr>
      <w:jc w:val="left"/>
    </w:pPr>
  </w:style>
  <w:style w:type="character" w:customStyle="1" w:styleId="Char">
    <w:name w:val="批注文字 Char"/>
    <w:basedOn w:val="a0"/>
    <w:link w:val="a3"/>
    <w:rsid w:val="001A459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rsid w:val="001A459E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156</Words>
  <Characters>892</Characters>
  <Application>Microsoft Office Word</Application>
  <DocSecurity>0</DocSecurity>
  <Lines>7</Lines>
  <Paragraphs>2</Paragraphs>
  <ScaleCrop>false</ScaleCrop>
  <Company>Sky123.Org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cp:lastPrinted>2016-12-27T03:04:00Z</cp:lastPrinted>
  <dcterms:created xsi:type="dcterms:W3CDTF">2016-12-27T02:56:00Z</dcterms:created>
  <dcterms:modified xsi:type="dcterms:W3CDTF">2016-12-27T03:04:00Z</dcterms:modified>
</cp:coreProperties>
</file>