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6BA2" w14:textId="77777777" w:rsidR="00AF3FDB" w:rsidRDefault="00744A41">
      <w:pPr>
        <w:jc w:val="center"/>
        <w:rPr>
          <w:b/>
          <w:bCs/>
          <w:sz w:val="24"/>
        </w:rPr>
      </w:pPr>
      <w:r>
        <w:rPr>
          <w:rFonts w:hint="eastAsia"/>
          <w:b/>
          <w:bCs/>
          <w:sz w:val="24"/>
        </w:rPr>
        <w:t>巴彦淖尔市生态环境局乌拉特前旗分局关于《乌梁素海流域投资建设有限公司水生植物资源化综合处理工程（无醛芦芯板项目）环境影响报告表》的审批意见</w:t>
      </w:r>
    </w:p>
    <w:p w14:paraId="5462F4D3" w14:textId="76B5741A" w:rsidR="00AF3FDB" w:rsidRDefault="00744A41">
      <w:pPr>
        <w:jc w:val="center"/>
        <w:rPr>
          <w:sz w:val="24"/>
        </w:rPr>
      </w:pPr>
      <w:r>
        <w:rPr>
          <w:rFonts w:hint="eastAsia"/>
          <w:sz w:val="24"/>
        </w:rPr>
        <w:t>乌前环表审</w:t>
      </w:r>
      <w:r>
        <w:rPr>
          <w:rFonts w:hint="eastAsia"/>
          <w:sz w:val="24"/>
        </w:rPr>
        <w:t>[2022]</w:t>
      </w:r>
      <w:r>
        <w:rPr>
          <w:sz w:val="24"/>
        </w:rPr>
        <w:t>4</w:t>
      </w:r>
      <w:r>
        <w:rPr>
          <w:rFonts w:hint="eastAsia"/>
          <w:sz w:val="24"/>
        </w:rPr>
        <w:t>号</w:t>
      </w:r>
    </w:p>
    <w:p w14:paraId="73572DB9" w14:textId="77777777" w:rsidR="00AF3FDB" w:rsidRDefault="00744A41">
      <w:pPr>
        <w:snapToGrid w:val="0"/>
        <w:spacing w:line="360" w:lineRule="auto"/>
        <w:rPr>
          <w:sz w:val="24"/>
        </w:rPr>
      </w:pPr>
      <w:r>
        <w:rPr>
          <w:rFonts w:hint="eastAsia"/>
          <w:sz w:val="24"/>
        </w:rPr>
        <w:t>乌梁素海流域投资建设有限公司：</w:t>
      </w:r>
    </w:p>
    <w:p w14:paraId="728201B3" w14:textId="34CBDBB6" w:rsidR="00AF3FDB" w:rsidRDefault="00744A41">
      <w:pPr>
        <w:snapToGrid w:val="0"/>
        <w:spacing w:line="360" w:lineRule="auto"/>
        <w:ind w:firstLine="480"/>
        <w:rPr>
          <w:sz w:val="24"/>
        </w:rPr>
      </w:pPr>
      <w:r>
        <w:rPr>
          <w:rFonts w:hint="eastAsia"/>
          <w:sz w:val="24"/>
        </w:rPr>
        <w:t>根据《巴彦淖尔市生态环境局关于调整巴彦淖尔市环境影响评价文件（非辐射类）审查审批权限的通知》（巴环办</w:t>
      </w:r>
      <w:r>
        <w:rPr>
          <w:rFonts w:hint="eastAsia"/>
          <w:sz w:val="24"/>
        </w:rPr>
        <w:t>[2020]94</w:t>
      </w:r>
      <w:r>
        <w:rPr>
          <w:rFonts w:hint="eastAsia"/>
          <w:sz w:val="24"/>
        </w:rPr>
        <w:t>号），你公司报送的《水生植物资源化综合处理工程（无醛芦芯板项目）环境影响报告表》（以下简称《报告表》）由市生态环境局</w:t>
      </w:r>
      <w:r>
        <w:rPr>
          <w:rFonts w:hint="eastAsia"/>
          <w:kern w:val="0"/>
          <w:sz w:val="24"/>
        </w:rPr>
        <w:t>授权</w:t>
      </w:r>
      <w:r>
        <w:rPr>
          <w:kern w:val="0"/>
          <w:sz w:val="24"/>
        </w:rPr>
        <w:t>我</w:t>
      </w:r>
      <w:r w:rsidR="008C65C8">
        <w:rPr>
          <w:rFonts w:hint="eastAsia"/>
          <w:kern w:val="0"/>
          <w:sz w:val="24"/>
        </w:rPr>
        <w:t>分</w:t>
      </w:r>
      <w:r>
        <w:rPr>
          <w:kern w:val="0"/>
          <w:sz w:val="24"/>
        </w:rPr>
        <w:t>局</w:t>
      </w:r>
      <w:r>
        <w:rPr>
          <w:rFonts w:hint="eastAsia"/>
          <w:sz w:val="24"/>
        </w:rPr>
        <w:t>审批。经专家组审查和我分局研究，批复如下：</w:t>
      </w:r>
    </w:p>
    <w:p w14:paraId="008814A9" w14:textId="1B60E9B3" w:rsidR="00AF3FDB" w:rsidRDefault="00744A41">
      <w:pPr>
        <w:snapToGrid w:val="0"/>
        <w:spacing w:line="360" w:lineRule="auto"/>
        <w:ind w:firstLineChars="200" w:firstLine="480"/>
        <w:jc w:val="left"/>
        <w:rPr>
          <w:sz w:val="24"/>
        </w:rPr>
      </w:pPr>
      <w:r>
        <w:rPr>
          <w:rFonts w:hint="eastAsia"/>
          <w:sz w:val="24"/>
        </w:rPr>
        <w:t>该项目</w:t>
      </w:r>
      <w:r>
        <w:rPr>
          <w:rFonts w:ascii="Times New Roman" w:hAnsi="Times New Roman" w:cs="Times New Roman" w:hint="eastAsia"/>
          <w:sz w:val="24"/>
        </w:rPr>
        <w:t>拟建于内蒙古巴彦淖尔市</w:t>
      </w:r>
      <w:r>
        <w:rPr>
          <w:rFonts w:hint="eastAsia"/>
          <w:sz w:val="24"/>
        </w:rPr>
        <w:t>乌拉特前旗中小企业创业园区新三路北侧、南北中心小油路东侧、新</w:t>
      </w:r>
      <w:r w:rsidR="00904C88">
        <w:rPr>
          <w:rFonts w:hint="eastAsia"/>
          <w:sz w:val="24"/>
        </w:rPr>
        <w:t>七</w:t>
      </w:r>
      <w:r>
        <w:rPr>
          <w:rFonts w:hint="eastAsia"/>
          <w:sz w:val="24"/>
        </w:rPr>
        <w:t>路南侧、新十三路西侧区域。根据《乌拉特前旗人民政府关于内蒙古乌梁素海流域投资建设有限公司水生植物资源化综合处理工程符合中小企业创业园区规划的承诺》，该项目符合乌拉特前旗中小企业创业园区的产业定位和产业布局。</w:t>
      </w:r>
      <w:r>
        <w:rPr>
          <w:rFonts w:ascii="Times New Roman" w:hAnsi="Times New Roman" w:cs="Times New Roman" w:hint="eastAsia"/>
          <w:sz w:val="24"/>
        </w:rPr>
        <w:t>本</w:t>
      </w:r>
      <w:r>
        <w:rPr>
          <w:rFonts w:ascii="Times New Roman" w:hAnsi="Times New Roman" w:cs="Times New Roman"/>
          <w:sz w:val="24"/>
        </w:rPr>
        <w:t>项</w:t>
      </w:r>
      <w:r>
        <w:rPr>
          <w:rFonts w:ascii="Times New Roman" w:hAnsi="Times New Roman" w:cs="Times New Roman" w:hint="eastAsia"/>
          <w:sz w:val="24"/>
        </w:rPr>
        <w:t>目</w:t>
      </w:r>
      <w:r>
        <w:rPr>
          <w:rFonts w:ascii="Times New Roman" w:hAnsi="Times New Roman" w:cs="Times New Roman"/>
          <w:sz w:val="24"/>
        </w:rPr>
        <w:t>以芦苇为原料加工成刨花，</w:t>
      </w:r>
      <w:bookmarkStart w:id="0" w:name="_Hlk95471569"/>
      <w:r>
        <w:rPr>
          <w:rFonts w:ascii="Times New Roman" w:hAnsi="Times New Roman" w:cs="Times New Roman"/>
          <w:sz w:val="24"/>
        </w:rPr>
        <w:t>采取连续平压法工艺</w:t>
      </w:r>
      <w:bookmarkEnd w:id="0"/>
      <w:r>
        <w:rPr>
          <w:rFonts w:ascii="Times New Roman" w:hAnsi="Times New Roman" w:cs="Times New Roman"/>
          <w:sz w:val="24"/>
        </w:rPr>
        <w:t>生产刨花板。设计年产</w:t>
      </w:r>
      <w:r>
        <w:rPr>
          <w:rFonts w:ascii="Times New Roman" w:hAnsi="Times New Roman" w:cs="Times New Roman"/>
          <w:sz w:val="24"/>
        </w:rPr>
        <w:t>15</w:t>
      </w:r>
      <w:r>
        <w:rPr>
          <w:rFonts w:ascii="Times New Roman" w:hAnsi="Times New Roman" w:cs="Times New Roman"/>
          <w:sz w:val="24"/>
        </w:rPr>
        <w:t>万</w:t>
      </w:r>
      <w:r>
        <w:rPr>
          <w:rFonts w:ascii="Times New Roman" w:hAnsi="Times New Roman" w:cs="Times New Roman"/>
          <w:sz w:val="24"/>
        </w:rPr>
        <w:t>m</w:t>
      </w:r>
      <w:r>
        <w:rPr>
          <w:rFonts w:ascii="Times New Roman" w:hAnsi="Times New Roman" w:cs="Times New Roman"/>
          <w:sz w:val="24"/>
          <w:vertAlign w:val="superscript"/>
        </w:rPr>
        <w:t>3</w:t>
      </w:r>
      <w:r>
        <w:rPr>
          <w:rFonts w:ascii="Times New Roman" w:hAnsi="Times New Roman" w:cs="Times New Roman"/>
          <w:sz w:val="24"/>
        </w:rPr>
        <w:t>芦苇刨花板</w:t>
      </w:r>
      <w:r>
        <w:rPr>
          <w:rFonts w:ascii="Times New Roman" w:hAnsi="Times New Roman" w:cs="Times New Roman" w:hint="eastAsia"/>
          <w:sz w:val="24"/>
        </w:rPr>
        <w:t>。</w:t>
      </w:r>
      <w:r>
        <w:rPr>
          <w:sz w:val="24"/>
        </w:rPr>
        <w:t>根据《报告表》结论，项目在落实《报告表》提出的污染防治措施后，项目建设产生的环境不利影响能够得到缓解和控制。从环保角度分析，我局原则同意按照《报告表》中所列的建设项目性质、规模、地点、生产工艺、环境保护对策措施进行建设。</w:t>
      </w:r>
      <w:r>
        <w:rPr>
          <w:rFonts w:hint="eastAsia"/>
          <w:sz w:val="24"/>
        </w:rPr>
        <w:t>项目建设与运行应注意做好以下工作：</w:t>
      </w:r>
    </w:p>
    <w:p w14:paraId="7F8D48C5" w14:textId="77777777" w:rsidR="00AF3FDB" w:rsidRDefault="00744A41">
      <w:pPr>
        <w:numPr>
          <w:ilvl w:val="0"/>
          <w:numId w:val="1"/>
        </w:numPr>
        <w:snapToGrid w:val="0"/>
        <w:spacing w:line="360" w:lineRule="auto"/>
        <w:ind w:firstLineChars="200" w:firstLine="480"/>
        <w:rPr>
          <w:sz w:val="24"/>
        </w:rPr>
      </w:pPr>
      <w:r>
        <w:rPr>
          <w:rFonts w:hint="eastAsia"/>
          <w:sz w:val="24"/>
        </w:rPr>
        <w:t>不得使用任何有毒、有害等国家禁止的物质作为生产原辅材料。</w:t>
      </w:r>
    </w:p>
    <w:p w14:paraId="6A2DA24E" w14:textId="77777777" w:rsidR="00AF3FDB" w:rsidRDefault="00744A41">
      <w:pPr>
        <w:snapToGrid w:val="0"/>
        <w:spacing w:line="360" w:lineRule="auto"/>
        <w:ind w:firstLineChars="200" w:firstLine="480"/>
        <w:jc w:val="left"/>
        <w:rPr>
          <w:sz w:val="24"/>
        </w:rPr>
      </w:pPr>
      <w:r>
        <w:rPr>
          <w:rFonts w:hint="eastAsia"/>
          <w:sz w:val="24"/>
        </w:rPr>
        <w:t>2</w:t>
      </w:r>
      <w:r>
        <w:rPr>
          <w:sz w:val="24"/>
        </w:rPr>
        <w:t>、认真落实建设期的污染防治措施和生态保护措施。施工时应将表土层集中堆放并进行临时防护。施工场地四周设置施工屏障，粉状物料进行苫盖；对易产生扬尘的作业面（点）和道路洒水抑尘，运输车辆进行苫盖。施工场地建防渗沉淀池，施工废水经沉淀后回用。选用低噪声的施工机械，合理布置施工场地</w:t>
      </w:r>
      <w:r>
        <w:rPr>
          <w:rFonts w:hint="eastAsia"/>
          <w:sz w:val="24"/>
        </w:rPr>
        <w:t>和施工时间</w:t>
      </w:r>
      <w:r>
        <w:rPr>
          <w:sz w:val="24"/>
        </w:rPr>
        <w:t>，施工噪声应满足《建筑施工厂界噪声限值》（</w:t>
      </w:r>
      <w:r>
        <w:rPr>
          <w:sz w:val="24"/>
        </w:rPr>
        <w:t>GB12523-2011</w:t>
      </w:r>
      <w:r>
        <w:rPr>
          <w:sz w:val="24"/>
        </w:rPr>
        <w:t>）要求。施工过程产生的建筑固废运送到指定地点，生活垃圾由环卫部门集中收集。</w:t>
      </w:r>
    </w:p>
    <w:p w14:paraId="73B86F90" w14:textId="77777777" w:rsidR="00AF3FDB" w:rsidRDefault="00744A41">
      <w:pPr>
        <w:snapToGrid w:val="0"/>
        <w:spacing w:line="360" w:lineRule="auto"/>
        <w:ind w:firstLineChars="200" w:firstLine="480"/>
        <w:rPr>
          <w:sz w:val="24"/>
        </w:rPr>
      </w:pPr>
      <w:r>
        <w:rPr>
          <w:rFonts w:hint="eastAsia"/>
          <w:sz w:val="24"/>
        </w:rPr>
        <w:t>3</w:t>
      </w:r>
      <w:r>
        <w:rPr>
          <w:rFonts w:hint="eastAsia"/>
          <w:sz w:val="24"/>
        </w:rPr>
        <w:t>、严格落实《报告表》提出的大气污染防治措施。本项目有组织大气污染源主要是干燥工序的干燥废气，该废气经</w:t>
      </w:r>
      <w:r>
        <w:rPr>
          <w:sz w:val="24"/>
        </w:rPr>
        <w:t>4</w:t>
      </w:r>
      <w:r>
        <w:rPr>
          <w:sz w:val="24"/>
        </w:rPr>
        <w:t>台旋风除尘</w:t>
      </w:r>
      <w:r>
        <w:rPr>
          <w:rFonts w:hint="eastAsia"/>
          <w:sz w:val="24"/>
        </w:rPr>
        <w:t>+</w:t>
      </w:r>
      <w:r>
        <w:rPr>
          <w:rFonts w:hint="eastAsia"/>
          <w:sz w:val="24"/>
        </w:rPr>
        <w:t>炉内脱硝（喷尿素）除尘脱硝后由</w:t>
      </w:r>
      <w:r>
        <w:rPr>
          <w:rFonts w:hint="eastAsia"/>
          <w:sz w:val="24"/>
        </w:rPr>
        <w:t>1</w:t>
      </w:r>
      <w:r>
        <w:rPr>
          <w:rFonts w:hint="eastAsia"/>
          <w:sz w:val="24"/>
        </w:rPr>
        <w:t>座</w:t>
      </w:r>
      <w:r>
        <w:rPr>
          <w:rFonts w:hint="eastAsia"/>
          <w:sz w:val="24"/>
        </w:rPr>
        <w:t>4</w:t>
      </w:r>
      <w:r>
        <w:rPr>
          <w:sz w:val="24"/>
        </w:rPr>
        <w:t>5</w:t>
      </w:r>
      <w:r>
        <w:rPr>
          <w:rFonts w:hint="eastAsia"/>
          <w:sz w:val="24"/>
        </w:rPr>
        <w:t>m</w:t>
      </w:r>
      <w:r>
        <w:rPr>
          <w:rFonts w:hint="eastAsia"/>
          <w:sz w:val="24"/>
        </w:rPr>
        <w:t>高烟囱外排，非正常情况下有组织大气污染源主要是热能中心启动废气，启动烟气经多管除尘器收尘后由</w:t>
      </w:r>
      <w:r>
        <w:rPr>
          <w:rFonts w:hint="eastAsia"/>
          <w:sz w:val="24"/>
        </w:rPr>
        <w:t>1</w:t>
      </w:r>
      <w:r>
        <w:rPr>
          <w:rFonts w:hint="eastAsia"/>
          <w:sz w:val="24"/>
        </w:rPr>
        <w:t>座</w:t>
      </w:r>
      <w:r>
        <w:rPr>
          <w:rFonts w:hint="eastAsia"/>
          <w:sz w:val="24"/>
        </w:rPr>
        <w:t>2</w:t>
      </w:r>
      <w:r>
        <w:rPr>
          <w:sz w:val="24"/>
        </w:rPr>
        <w:t>0</w:t>
      </w:r>
      <w:r>
        <w:rPr>
          <w:rFonts w:hint="eastAsia"/>
          <w:sz w:val="24"/>
        </w:rPr>
        <w:t>米高排气筒外排。其他刨花制备工序、刨花干燥工序、分选及再破碎工序、施胶工序、毛板处理工序、</w:t>
      </w:r>
      <w:r>
        <w:rPr>
          <w:rFonts w:hint="eastAsia"/>
          <w:sz w:val="24"/>
        </w:rPr>
        <w:lastRenderedPageBreak/>
        <w:t>砂光和裁板工序以及生物质颗粒燃料生产工序产生的含尘废气均采用多管旋风除尘</w:t>
      </w:r>
      <w:r>
        <w:rPr>
          <w:rFonts w:hint="eastAsia"/>
          <w:sz w:val="24"/>
        </w:rPr>
        <w:t>+</w:t>
      </w:r>
      <w:r>
        <w:rPr>
          <w:rFonts w:hint="eastAsia"/>
          <w:sz w:val="24"/>
        </w:rPr>
        <w:t>脉冲布袋除尘器处理后通过除尘器出口无组织排放，出口高度</w:t>
      </w:r>
      <w:r>
        <w:rPr>
          <w:rFonts w:hint="eastAsia"/>
          <w:sz w:val="24"/>
        </w:rPr>
        <w:t>1</w:t>
      </w:r>
      <w:r>
        <w:rPr>
          <w:sz w:val="24"/>
        </w:rPr>
        <w:t>0</w:t>
      </w:r>
      <w:r>
        <w:rPr>
          <w:rFonts w:hint="eastAsia"/>
          <w:sz w:val="24"/>
        </w:rPr>
        <w:t>m</w:t>
      </w:r>
      <w:r>
        <w:rPr>
          <w:rFonts w:hint="eastAsia"/>
          <w:sz w:val="24"/>
        </w:rPr>
        <w:t>，本项目设置的</w:t>
      </w:r>
      <w:r>
        <w:rPr>
          <w:rFonts w:hint="eastAsia"/>
          <w:bCs/>
          <w:sz w:val="24"/>
        </w:rPr>
        <w:t>除尘系统均为正压输送系统，未设置排气筒，按《排污许可证申请与核发技术规范</w:t>
      </w:r>
      <w:r>
        <w:rPr>
          <w:rFonts w:hint="eastAsia"/>
          <w:bCs/>
          <w:sz w:val="24"/>
        </w:rPr>
        <w:t xml:space="preserve"> </w:t>
      </w:r>
      <w:r>
        <w:rPr>
          <w:rFonts w:hint="eastAsia"/>
          <w:bCs/>
          <w:sz w:val="24"/>
        </w:rPr>
        <w:t>人造板工业》（</w:t>
      </w:r>
      <w:r>
        <w:rPr>
          <w:rFonts w:hint="eastAsia"/>
          <w:bCs/>
          <w:sz w:val="24"/>
        </w:rPr>
        <w:t>H</w:t>
      </w:r>
      <w:r>
        <w:rPr>
          <w:bCs/>
          <w:sz w:val="24"/>
        </w:rPr>
        <w:t>J1032-2019</w:t>
      </w:r>
      <w:r>
        <w:rPr>
          <w:rFonts w:hint="eastAsia"/>
          <w:bCs/>
          <w:sz w:val="24"/>
        </w:rPr>
        <w:t>）要求各工段风送除尘系统若为正压输送，纳入无组织排放管理，</w:t>
      </w:r>
      <w:r>
        <w:rPr>
          <w:rFonts w:hint="eastAsia"/>
          <w:sz w:val="24"/>
        </w:rPr>
        <w:t>确保</w:t>
      </w:r>
      <w:r>
        <w:rPr>
          <w:sz w:val="24"/>
        </w:rPr>
        <w:t>污染物浓度满足</w:t>
      </w:r>
      <w:r>
        <w:rPr>
          <w:rFonts w:hint="eastAsia"/>
          <w:sz w:val="24"/>
        </w:rPr>
        <w:t>《大气污染物综合排放标准》（</w:t>
      </w:r>
      <w:r>
        <w:rPr>
          <w:rFonts w:hint="eastAsia"/>
          <w:sz w:val="24"/>
        </w:rPr>
        <w:t>GB16297-1996</w:t>
      </w:r>
      <w:r>
        <w:rPr>
          <w:rFonts w:hint="eastAsia"/>
          <w:sz w:val="24"/>
        </w:rPr>
        <w:t>）表</w:t>
      </w:r>
      <w:r>
        <w:rPr>
          <w:rFonts w:hint="eastAsia"/>
          <w:sz w:val="24"/>
        </w:rPr>
        <w:t>2</w:t>
      </w:r>
      <w:r>
        <w:rPr>
          <w:rFonts w:hint="eastAsia"/>
          <w:sz w:val="24"/>
        </w:rPr>
        <w:t>中二级标准限值排放。</w:t>
      </w:r>
    </w:p>
    <w:p w14:paraId="059CD05E" w14:textId="77777777" w:rsidR="00AF3FDB" w:rsidRDefault="00744A41">
      <w:pPr>
        <w:snapToGrid w:val="0"/>
        <w:spacing w:line="360" w:lineRule="auto"/>
        <w:ind w:firstLine="480"/>
        <w:rPr>
          <w:szCs w:val="18"/>
        </w:rPr>
      </w:pPr>
      <w:r>
        <w:rPr>
          <w:rFonts w:hint="eastAsia"/>
          <w:sz w:val="24"/>
        </w:rPr>
        <w:t>4</w:t>
      </w:r>
      <w:r>
        <w:rPr>
          <w:rFonts w:hint="eastAsia"/>
          <w:sz w:val="24"/>
        </w:rPr>
        <w:t>、</w:t>
      </w:r>
      <w:r>
        <w:rPr>
          <w:sz w:val="24"/>
        </w:rPr>
        <w:t>按照《报告表》要求严格落实厂区一般污染防治区、重点污染防治区的防渗措施，</w:t>
      </w:r>
      <w:r>
        <w:rPr>
          <w:rFonts w:asciiTheme="minorEastAsia" w:hAnsiTheme="minorEastAsia" w:cstheme="minorEastAsia" w:hint="eastAsia"/>
          <w:sz w:val="24"/>
        </w:rPr>
        <w:t>生活污水经厂区自建化粪池及隔油池处理后管道未建成前吸污车拉运至城镇污水处理厂，污水管道建成后经园区污水管网排入乌拉特前旗城镇污水处理厂处理；配胶设备定期清洗水经边沟收集后暂存于1座</w:t>
      </w:r>
      <w:r>
        <w:rPr>
          <w:rFonts w:asciiTheme="minorEastAsia" w:hAnsiTheme="minorEastAsia" w:cstheme="minorEastAsia" w:hint="eastAsia"/>
          <w:bCs/>
          <w:sz w:val="24"/>
        </w:rPr>
        <w:t>10m</w:t>
      </w:r>
      <w:r>
        <w:rPr>
          <w:rFonts w:asciiTheme="minorEastAsia" w:hAnsiTheme="minorEastAsia" w:cstheme="minorEastAsia" w:hint="eastAsia"/>
          <w:bCs/>
          <w:sz w:val="24"/>
          <w:vertAlign w:val="superscript"/>
        </w:rPr>
        <w:t>3</w:t>
      </w:r>
      <w:r>
        <w:rPr>
          <w:rFonts w:asciiTheme="minorEastAsia" w:hAnsiTheme="minorEastAsia" w:cstheme="minorEastAsia" w:hint="eastAsia"/>
          <w:bCs/>
          <w:sz w:val="24"/>
        </w:rPr>
        <w:t>的</w:t>
      </w:r>
      <w:r>
        <w:rPr>
          <w:rFonts w:asciiTheme="minorEastAsia" w:hAnsiTheme="minorEastAsia" w:cstheme="minorEastAsia" w:hint="eastAsia"/>
          <w:sz w:val="24"/>
        </w:rPr>
        <w:t>污水收集池，炉前料仓内管道喷入，掺入燃料在热能中心焚烧；热能中心制水设备排水回用于掺入燃料在热能中心焚烧；生产废水不得外排</w:t>
      </w:r>
      <w:r>
        <w:rPr>
          <w:rFonts w:hint="eastAsia"/>
          <w:szCs w:val="18"/>
        </w:rPr>
        <w:t>。</w:t>
      </w:r>
    </w:p>
    <w:p w14:paraId="6BF24CBC" w14:textId="77777777" w:rsidR="00AF3FDB" w:rsidRDefault="00744A41">
      <w:pPr>
        <w:snapToGrid w:val="0"/>
        <w:spacing w:line="360" w:lineRule="auto"/>
        <w:ind w:firstLine="480"/>
        <w:rPr>
          <w:sz w:val="24"/>
        </w:rPr>
      </w:pPr>
      <w:r>
        <w:rPr>
          <w:rFonts w:hint="eastAsia"/>
          <w:sz w:val="24"/>
        </w:rPr>
        <w:t>5</w:t>
      </w:r>
      <w:r>
        <w:rPr>
          <w:rFonts w:hint="eastAsia"/>
          <w:sz w:val="24"/>
        </w:rPr>
        <w:t>、采取有效降噪措施，确保厂界噪声满足《工业企业厂界环境噪声排放标准》（</w:t>
      </w:r>
      <w:r>
        <w:rPr>
          <w:rFonts w:hint="eastAsia"/>
          <w:sz w:val="24"/>
        </w:rPr>
        <w:t>GB12348-2008</w:t>
      </w:r>
      <w:r>
        <w:rPr>
          <w:rFonts w:hint="eastAsia"/>
          <w:sz w:val="24"/>
        </w:rPr>
        <w:t>）</w:t>
      </w:r>
      <w:r>
        <w:rPr>
          <w:rFonts w:hint="eastAsia"/>
          <w:sz w:val="24"/>
        </w:rPr>
        <w:t>2</w:t>
      </w:r>
      <w:r>
        <w:rPr>
          <w:rFonts w:hint="eastAsia"/>
          <w:sz w:val="24"/>
        </w:rPr>
        <w:t>类标准要求。</w:t>
      </w:r>
    </w:p>
    <w:p w14:paraId="4976B70A" w14:textId="7F01368D" w:rsidR="00AF3FDB" w:rsidRDefault="00744A41">
      <w:pPr>
        <w:snapToGrid w:val="0"/>
        <w:spacing w:line="360" w:lineRule="auto"/>
        <w:ind w:firstLine="480"/>
      </w:pPr>
      <w:r>
        <w:rPr>
          <w:rFonts w:hint="eastAsia"/>
          <w:sz w:val="24"/>
        </w:rPr>
        <w:t>6</w:t>
      </w:r>
      <w:r>
        <w:rPr>
          <w:rFonts w:hint="eastAsia"/>
          <w:sz w:val="24"/>
        </w:rPr>
        <w:t>、</w:t>
      </w:r>
      <w:bookmarkStart w:id="1" w:name="_Hlk95407151"/>
      <w:r>
        <w:rPr>
          <w:rFonts w:hint="eastAsia"/>
          <w:sz w:val="24"/>
        </w:rPr>
        <w:t>严格按照《报告表》要求落实固体废物防治措施。</w:t>
      </w:r>
      <w:r>
        <w:rPr>
          <w:rFonts w:hint="eastAsia"/>
          <w:kern w:val="0"/>
          <w:sz w:val="24"/>
        </w:rPr>
        <w:t>热能中心产生的废导热油及维修车间产生的废机油等危险废物均暂存于危废暂存库，危废暂存库</w:t>
      </w:r>
      <w:r>
        <w:rPr>
          <w:rFonts w:asciiTheme="minorEastAsia" w:hAnsiTheme="minorEastAsia" w:cstheme="minorEastAsia" w:hint="eastAsia"/>
          <w:sz w:val="24"/>
        </w:rPr>
        <w:t>按照《危险废物贮存污染控制标准》(GB18597-2001)及其修改单要求进行</w:t>
      </w:r>
      <w:r w:rsidR="00904C88">
        <w:rPr>
          <w:rFonts w:asciiTheme="minorEastAsia" w:hAnsiTheme="minorEastAsia" w:cstheme="minorEastAsia" w:hint="eastAsia"/>
          <w:sz w:val="24"/>
        </w:rPr>
        <w:t>建设，采取</w:t>
      </w:r>
      <w:r>
        <w:rPr>
          <w:rFonts w:asciiTheme="minorEastAsia" w:hAnsiTheme="minorEastAsia" w:cstheme="minorEastAsia" w:hint="eastAsia"/>
          <w:sz w:val="24"/>
        </w:rPr>
        <w:t>防风、防晒、防雨</w:t>
      </w:r>
      <w:r w:rsidR="00904C88">
        <w:rPr>
          <w:rFonts w:asciiTheme="minorEastAsia" w:hAnsiTheme="minorEastAsia" w:cstheme="minorEastAsia" w:hint="eastAsia"/>
          <w:sz w:val="24"/>
        </w:rPr>
        <w:t>等封闭措施</w:t>
      </w:r>
      <w:r>
        <w:rPr>
          <w:rFonts w:asciiTheme="minorEastAsia" w:hAnsiTheme="minorEastAsia" w:cstheme="minorEastAsia" w:hint="eastAsia"/>
          <w:sz w:val="24"/>
        </w:rPr>
        <w:t>，地面采用硬化处理，并进行防腐防渗处理，防渗系数≤10</w:t>
      </w:r>
      <w:r>
        <w:rPr>
          <w:rFonts w:asciiTheme="minorEastAsia" w:hAnsiTheme="minorEastAsia" w:cstheme="minorEastAsia" w:hint="eastAsia"/>
          <w:sz w:val="24"/>
          <w:vertAlign w:val="superscript"/>
        </w:rPr>
        <w:t>-10</w:t>
      </w:r>
      <w:r>
        <w:rPr>
          <w:rFonts w:asciiTheme="minorEastAsia" w:hAnsiTheme="minorEastAsia" w:cstheme="minorEastAsia" w:hint="eastAsia"/>
          <w:sz w:val="24"/>
        </w:rPr>
        <w:t>cm/s，危废</w:t>
      </w:r>
      <w:r>
        <w:rPr>
          <w:rFonts w:hint="eastAsia"/>
          <w:kern w:val="0"/>
          <w:sz w:val="24"/>
        </w:rPr>
        <w:t>定期由有资质单位外运处置。热能中心产生的灰渣袋装暂存于一般固废暂存库定期外运作为农田施肥处置，生产使用的增粘剂及脱膜剂的废包装桶暂存于一般固废暂存库，定期厂家回收处置。</w:t>
      </w:r>
      <w:r>
        <w:rPr>
          <w:rFonts w:hint="eastAsia"/>
          <w:sz w:val="24"/>
        </w:rPr>
        <w:t>各除尘设施收集的粉料、修边、锯切、干燥工序产生的废边条、苇膜及不合格板材等作为热能中心燃料使用；热能中心软水制备产生的废离子交换树脂定期由厂家更换回收，不得在厂内暂存；除铁废料集中收集后袋装在一般固废库暂存，定期送收购站回收。生活垃圾集中收集由园区环卫部门外运处置</w:t>
      </w:r>
      <w:r>
        <w:rPr>
          <w:rFonts w:hint="eastAsia"/>
        </w:rPr>
        <w:t>。</w:t>
      </w:r>
      <w:bookmarkEnd w:id="1"/>
    </w:p>
    <w:p w14:paraId="6A58E674" w14:textId="77777777" w:rsidR="00AF3FDB" w:rsidRDefault="00744A41">
      <w:pPr>
        <w:snapToGrid w:val="0"/>
        <w:spacing w:line="360" w:lineRule="auto"/>
        <w:ind w:firstLine="480"/>
        <w:rPr>
          <w:sz w:val="24"/>
        </w:rPr>
      </w:pPr>
      <w:r>
        <w:rPr>
          <w:rFonts w:hint="eastAsia"/>
          <w:sz w:val="24"/>
        </w:rPr>
        <w:t>7</w:t>
      </w:r>
      <w:r>
        <w:rPr>
          <w:rFonts w:hint="eastAsia"/>
          <w:sz w:val="24"/>
        </w:rPr>
        <w:t>、</w:t>
      </w:r>
      <w:r>
        <w:rPr>
          <w:rFonts w:hint="eastAsia"/>
          <w:sz w:val="24"/>
          <w:lang w:val="en-GB"/>
        </w:rPr>
        <w:t>强化地下水、土壤污染防治。按照《报告表》要求严格落实防渗措施，加强对地下水的监控，严禁地下水和土壤污染。</w:t>
      </w:r>
    </w:p>
    <w:p w14:paraId="6F8DD897" w14:textId="77777777" w:rsidR="00AF3FDB" w:rsidRDefault="00744A41">
      <w:pPr>
        <w:spacing w:line="360" w:lineRule="auto"/>
        <w:ind w:firstLineChars="200" w:firstLine="480"/>
      </w:pPr>
      <w:r>
        <w:rPr>
          <w:rFonts w:hint="eastAsia"/>
          <w:sz w:val="24"/>
        </w:rPr>
        <w:t>8</w:t>
      </w:r>
      <w:r>
        <w:rPr>
          <w:sz w:val="24"/>
        </w:rPr>
        <w:t>、</w:t>
      </w:r>
      <w:r>
        <w:rPr>
          <w:rFonts w:hint="eastAsia"/>
          <w:sz w:val="24"/>
        </w:rPr>
        <w:t>强化环境风险防范意识，落实环境风险</w:t>
      </w:r>
      <w:r>
        <w:rPr>
          <w:rFonts w:ascii="宋体" w:hAnsi="宋体" w:cs="宋体" w:hint="eastAsia"/>
          <w:color w:val="000000"/>
          <w:kern w:val="0"/>
          <w:sz w:val="24"/>
        </w:rPr>
        <w:t>事故防范措施，制定环境风险事故应急预案，提高事故风险防范和污染控制能力。</w:t>
      </w:r>
    </w:p>
    <w:p w14:paraId="2FBAFAA3" w14:textId="77777777" w:rsidR="00AF3FDB" w:rsidRDefault="00744A41">
      <w:pPr>
        <w:snapToGrid w:val="0"/>
        <w:spacing w:line="360" w:lineRule="auto"/>
        <w:jc w:val="left"/>
        <w:rPr>
          <w:sz w:val="24"/>
        </w:rPr>
      </w:pPr>
      <w:r>
        <w:rPr>
          <w:rFonts w:hint="eastAsia"/>
          <w:sz w:val="24"/>
        </w:rPr>
        <w:t xml:space="preserve">    9</w:t>
      </w:r>
      <w:r>
        <w:rPr>
          <w:sz w:val="24"/>
        </w:rPr>
        <w:t>、建设项目在启动生产设施或者在实际排污之前，依法需申请排污许可证</w:t>
      </w:r>
      <w:r>
        <w:rPr>
          <w:sz w:val="24"/>
        </w:rPr>
        <w:lastRenderedPageBreak/>
        <w:t>的，须按相关规定申领排污许可证，做到持证排污、按证排污。项目投产后按规定提交污染物排放检测报告。</w:t>
      </w:r>
    </w:p>
    <w:p w14:paraId="332E1AB4" w14:textId="77777777" w:rsidR="00AF3FDB" w:rsidRDefault="00744A41">
      <w:pPr>
        <w:snapToGrid w:val="0"/>
        <w:spacing w:line="360" w:lineRule="auto"/>
        <w:jc w:val="left"/>
        <w:rPr>
          <w:sz w:val="24"/>
        </w:rPr>
      </w:pPr>
      <w:r>
        <w:rPr>
          <w:rFonts w:hint="eastAsia"/>
          <w:sz w:val="24"/>
        </w:rPr>
        <w:t xml:space="preserve">　　</w:t>
      </w:r>
      <w:r>
        <w:rPr>
          <w:rFonts w:hint="eastAsia"/>
          <w:sz w:val="24"/>
        </w:rPr>
        <w:t>10</w:t>
      </w:r>
      <w:r>
        <w:rPr>
          <w:sz w:val="24"/>
        </w:rPr>
        <w:t>、项目建设必须严格执行环境保护</w:t>
      </w:r>
      <w:r>
        <w:rPr>
          <w:sz w:val="24"/>
        </w:rPr>
        <w:t>“</w:t>
      </w:r>
      <w:r>
        <w:rPr>
          <w:sz w:val="24"/>
        </w:rPr>
        <w:t>三同时</w:t>
      </w:r>
      <w:r>
        <w:rPr>
          <w:sz w:val="24"/>
        </w:rPr>
        <w:t>”</w:t>
      </w:r>
      <w:r>
        <w:rPr>
          <w:sz w:val="24"/>
        </w:rPr>
        <w:t>制度，建设项目竣工后，建设单位应当按要求和规定程序进行项目竣工生态环境保护验收，验收合格后方可投入运营。</w:t>
      </w:r>
    </w:p>
    <w:p w14:paraId="0AC33CEB" w14:textId="77777777" w:rsidR="00AF3FDB" w:rsidRDefault="00744A41">
      <w:pPr>
        <w:snapToGrid w:val="0"/>
        <w:spacing w:line="360" w:lineRule="auto"/>
        <w:jc w:val="left"/>
        <w:rPr>
          <w:sz w:val="24"/>
        </w:rPr>
      </w:pPr>
      <w:r>
        <w:rPr>
          <w:rFonts w:hint="eastAsia"/>
          <w:sz w:val="24"/>
        </w:rPr>
        <w:t xml:space="preserve">　　</w:t>
      </w:r>
      <w:r>
        <w:rPr>
          <w:rFonts w:hint="eastAsia"/>
          <w:sz w:val="24"/>
        </w:rPr>
        <w:t>11</w:t>
      </w:r>
      <w:r>
        <w:rPr>
          <w:sz w:val="24"/>
        </w:rPr>
        <w:t>、</w:t>
      </w:r>
      <w:r>
        <w:rPr>
          <w:rFonts w:hint="eastAsia"/>
          <w:sz w:val="24"/>
        </w:rPr>
        <w:t>项目环境影响评价文件经批准后</w:t>
      </w:r>
      <w:r>
        <w:rPr>
          <w:rFonts w:hint="eastAsia"/>
          <w:sz w:val="24"/>
        </w:rPr>
        <w:t>,</w:t>
      </w:r>
      <w:r>
        <w:rPr>
          <w:rFonts w:hint="eastAsia"/>
          <w:sz w:val="24"/>
        </w:rPr>
        <w:t>如工程的性质、规模、地点、工艺或者污染防治措施发生重大变动</w:t>
      </w:r>
      <w:r>
        <w:rPr>
          <w:rFonts w:hint="eastAsia"/>
          <w:sz w:val="24"/>
        </w:rPr>
        <w:t>,</w:t>
      </w:r>
      <w:r>
        <w:rPr>
          <w:rFonts w:hint="eastAsia"/>
          <w:sz w:val="24"/>
        </w:rPr>
        <w:t>你单位应当重新报批环境影响评价文件</w:t>
      </w:r>
      <w:r>
        <w:rPr>
          <w:rFonts w:hint="eastAsia"/>
          <w:sz w:val="24"/>
        </w:rPr>
        <w:t>,</w:t>
      </w:r>
      <w:r>
        <w:rPr>
          <w:rFonts w:hint="eastAsia"/>
          <w:sz w:val="24"/>
        </w:rPr>
        <w:t>否则不得实施建设。自环评文件批准之日起</w:t>
      </w:r>
      <w:r>
        <w:rPr>
          <w:rFonts w:hint="eastAsia"/>
          <w:sz w:val="24"/>
        </w:rPr>
        <w:t>,</w:t>
      </w:r>
      <w:r>
        <w:rPr>
          <w:rFonts w:hint="eastAsia"/>
          <w:sz w:val="24"/>
        </w:rPr>
        <w:t>超过五年方决定开工建设</w:t>
      </w:r>
      <w:r>
        <w:rPr>
          <w:rFonts w:hint="eastAsia"/>
          <w:sz w:val="24"/>
        </w:rPr>
        <w:t>,</w:t>
      </w:r>
      <w:r>
        <w:rPr>
          <w:rFonts w:hint="eastAsia"/>
          <w:sz w:val="24"/>
        </w:rPr>
        <w:t>应当报我局重新审核。</w:t>
      </w:r>
    </w:p>
    <w:p w14:paraId="7F04A875" w14:textId="77777777" w:rsidR="00AF3FDB" w:rsidRDefault="00744A41">
      <w:pPr>
        <w:snapToGrid w:val="0"/>
        <w:spacing w:line="360" w:lineRule="auto"/>
        <w:jc w:val="left"/>
        <w:rPr>
          <w:sz w:val="24"/>
        </w:rPr>
      </w:pPr>
      <w:r>
        <w:rPr>
          <w:sz w:val="24"/>
        </w:rPr>
        <w:t xml:space="preserve">   </w:t>
      </w:r>
      <w:r>
        <w:rPr>
          <w:rFonts w:hint="eastAsia"/>
          <w:sz w:val="24"/>
        </w:rPr>
        <w:t xml:space="preserve"> </w:t>
      </w:r>
      <w:r>
        <w:rPr>
          <w:sz w:val="24"/>
        </w:rPr>
        <w:t>1</w:t>
      </w:r>
      <w:r>
        <w:rPr>
          <w:rFonts w:hint="eastAsia"/>
          <w:sz w:val="24"/>
        </w:rPr>
        <w:t>2</w:t>
      </w:r>
      <w:r>
        <w:rPr>
          <w:sz w:val="24"/>
        </w:rPr>
        <w:t>、该项目的环境执法现场监察和日常监督管理由乌拉特前旗环境监察大队负责。</w:t>
      </w:r>
    </w:p>
    <w:p w14:paraId="70BF8D55" w14:textId="77777777" w:rsidR="00AF3FDB" w:rsidRDefault="00AF3FDB">
      <w:pPr>
        <w:snapToGrid w:val="0"/>
        <w:jc w:val="right"/>
        <w:rPr>
          <w:sz w:val="24"/>
        </w:rPr>
      </w:pPr>
    </w:p>
    <w:p w14:paraId="7F9DE764" w14:textId="77777777" w:rsidR="00AF3FDB" w:rsidRDefault="00AF3FDB">
      <w:pPr>
        <w:snapToGrid w:val="0"/>
        <w:jc w:val="right"/>
        <w:rPr>
          <w:sz w:val="24"/>
        </w:rPr>
      </w:pPr>
    </w:p>
    <w:p w14:paraId="67C2EEB9" w14:textId="77777777" w:rsidR="00AF3FDB" w:rsidRDefault="00AF3FDB">
      <w:pPr>
        <w:pStyle w:val="1"/>
        <w:rPr>
          <w:sz w:val="24"/>
        </w:rPr>
      </w:pPr>
    </w:p>
    <w:p w14:paraId="3C4D11BD" w14:textId="77777777" w:rsidR="00AF3FDB" w:rsidRDefault="00AF3FDB">
      <w:pPr>
        <w:pStyle w:val="1"/>
        <w:rPr>
          <w:sz w:val="24"/>
        </w:rPr>
      </w:pPr>
    </w:p>
    <w:p w14:paraId="73AE5407" w14:textId="77777777" w:rsidR="00AF3FDB" w:rsidRDefault="00744A41">
      <w:pPr>
        <w:snapToGrid w:val="0"/>
        <w:spacing w:line="360" w:lineRule="auto"/>
        <w:jc w:val="right"/>
        <w:rPr>
          <w:sz w:val="24"/>
        </w:rPr>
      </w:pPr>
      <w:r>
        <w:rPr>
          <w:rFonts w:hint="eastAsia"/>
          <w:sz w:val="24"/>
        </w:rPr>
        <w:t>巴彦淖尔市生态环境局乌拉特前旗分局</w:t>
      </w:r>
    </w:p>
    <w:p w14:paraId="01DA7E9E" w14:textId="5E269361" w:rsidR="00AF3FDB" w:rsidRDefault="00744A41">
      <w:pPr>
        <w:snapToGrid w:val="0"/>
        <w:spacing w:line="360" w:lineRule="auto"/>
        <w:ind w:firstLineChars="2100" w:firstLine="5040"/>
        <w:rPr>
          <w:sz w:val="24"/>
        </w:rPr>
      </w:pPr>
      <w:r>
        <w:rPr>
          <w:sz w:val="24"/>
        </w:rPr>
        <w:t xml:space="preserve">    202</w:t>
      </w:r>
      <w:r>
        <w:rPr>
          <w:rFonts w:hint="eastAsia"/>
          <w:sz w:val="24"/>
        </w:rPr>
        <w:t>2</w:t>
      </w:r>
      <w:r>
        <w:rPr>
          <w:sz w:val="24"/>
        </w:rPr>
        <w:t>年</w:t>
      </w:r>
      <w:r>
        <w:rPr>
          <w:rFonts w:hint="eastAsia"/>
          <w:sz w:val="24"/>
        </w:rPr>
        <w:t>2</w:t>
      </w:r>
      <w:r>
        <w:rPr>
          <w:sz w:val="24"/>
        </w:rPr>
        <w:t>月</w:t>
      </w:r>
      <w:r>
        <w:rPr>
          <w:sz w:val="24"/>
        </w:rPr>
        <w:t>24</w:t>
      </w:r>
      <w:r>
        <w:rPr>
          <w:sz w:val="24"/>
        </w:rPr>
        <w:t>日</w:t>
      </w:r>
    </w:p>
    <w:p w14:paraId="3638206E" w14:textId="77777777" w:rsidR="00AF3FDB" w:rsidRDefault="00744A41">
      <w:pPr>
        <w:snapToGrid w:val="0"/>
        <w:spacing w:line="360" w:lineRule="auto"/>
        <w:jc w:val="right"/>
        <w:rPr>
          <w:sz w:val="24"/>
        </w:rPr>
      </w:pPr>
      <w:r>
        <w:rPr>
          <w:rFonts w:hint="eastAsia"/>
          <w:sz w:val="24"/>
        </w:rPr>
        <w:t xml:space="preserve"> </w:t>
      </w:r>
    </w:p>
    <w:p w14:paraId="2240FC2C" w14:textId="77777777" w:rsidR="00AF3FDB" w:rsidRDefault="00AF3FDB">
      <w:pPr>
        <w:pStyle w:val="2"/>
        <w:ind w:firstLine="480"/>
        <w:rPr>
          <w:rFonts w:ascii="仿宋_GB2312" w:eastAsia="仿宋_GB2312" w:hAnsi="宋体"/>
          <w:kern w:val="0"/>
          <w:sz w:val="24"/>
        </w:rPr>
      </w:pPr>
    </w:p>
    <w:p w14:paraId="3216F728" w14:textId="77777777" w:rsidR="00AF3FDB" w:rsidRDefault="00744A41">
      <w:r>
        <w:rPr>
          <w:rFonts w:hint="eastAsia"/>
          <w:sz w:val="24"/>
          <w:szCs w:val="21"/>
          <w:u w:val="single"/>
        </w:rPr>
        <w:t xml:space="preserve">抄送：乌拉特前旗环境监察大队、乌拉特前旗环境保护监测站　　　　　　　</w:t>
      </w:r>
    </w:p>
    <w:sectPr w:rsidR="00AF3F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89F8" w14:textId="77777777" w:rsidR="00C169E6" w:rsidRDefault="00C169E6" w:rsidP="00C65010">
      <w:r>
        <w:separator/>
      </w:r>
    </w:p>
  </w:endnote>
  <w:endnote w:type="continuationSeparator" w:id="0">
    <w:p w14:paraId="208D0015" w14:textId="77777777" w:rsidR="00C169E6" w:rsidRDefault="00C169E6" w:rsidP="00C6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9811" w14:textId="77777777" w:rsidR="00C169E6" w:rsidRDefault="00C169E6" w:rsidP="00C65010">
      <w:r>
        <w:separator/>
      </w:r>
    </w:p>
  </w:footnote>
  <w:footnote w:type="continuationSeparator" w:id="0">
    <w:p w14:paraId="2A11960A" w14:textId="77777777" w:rsidR="00C169E6" w:rsidRDefault="00C169E6" w:rsidP="00C65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77EC1"/>
    <w:multiLevelType w:val="singleLevel"/>
    <w:tmpl w:val="33077EC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FDB"/>
    <w:rsid w:val="00744A41"/>
    <w:rsid w:val="008C65C8"/>
    <w:rsid w:val="00904C88"/>
    <w:rsid w:val="00AF3FDB"/>
    <w:rsid w:val="00C169E6"/>
    <w:rsid w:val="00C65010"/>
    <w:rsid w:val="0AFB19CF"/>
    <w:rsid w:val="1F275D63"/>
    <w:rsid w:val="30D40A52"/>
    <w:rsid w:val="33F313C7"/>
    <w:rsid w:val="35182DD1"/>
    <w:rsid w:val="464F77D9"/>
    <w:rsid w:val="47A31F09"/>
    <w:rsid w:val="4A513179"/>
    <w:rsid w:val="4EA0208F"/>
    <w:rsid w:val="5B83716E"/>
    <w:rsid w:val="6BF06C02"/>
    <w:rsid w:val="7A11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8CE46"/>
  <w15:docId w15:val="{C0980206-5CE2-416E-AAAC-5E1B10FC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line="240" w:lineRule="auto"/>
      <w:ind w:leftChars="200" w:left="420" w:firstLineChars="200" w:firstLine="420"/>
    </w:pPr>
    <w:rPr>
      <w:sz w:val="21"/>
    </w:rPr>
  </w:style>
  <w:style w:type="paragraph" w:styleId="a3">
    <w:name w:val="Body Text Indent"/>
    <w:basedOn w:val="a"/>
    <w:next w:val="a"/>
    <w:qFormat/>
    <w:pPr>
      <w:spacing w:line="360" w:lineRule="auto"/>
      <w:ind w:firstLineChars="192" w:firstLine="538"/>
    </w:pPr>
    <w:rPr>
      <w:rFonts w:ascii="Times New Roman"/>
      <w:sz w:val="28"/>
    </w:rPr>
  </w:style>
  <w:style w:type="paragraph" w:styleId="a4">
    <w:name w:val="Body Text"/>
    <w:basedOn w:val="a"/>
    <w:next w:val="a3"/>
    <w:qFormat/>
    <w:pPr>
      <w:widowControl/>
      <w:snapToGrid w:val="0"/>
      <w:spacing w:before="60" w:after="160" w:line="259" w:lineRule="auto"/>
      <w:ind w:right="113"/>
    </w:pPr>
    <w:rPr>
      <w:kern w:val="0"/>
      <w:sz w:val="18"/>
      <w:szCs w:val="20"/>
    </w:rPr>
  </w:style>
  <w:style w:type="paragraph" w:styleId="a5">
    <w:name w:val="Body Text First Indent"/>
    <w:basedOn w:val="a4"/>
    <w:next w:val="a"/>
    <w:qFormat/>
    <w:pPr>
      <w:ind w:firstLineChars="100" w:firstLine="420"/>
    </w:pPr>
  </w:style>
  <w:style w:type="paragraph" w:customStyle="1" w:styleId="1">
    <w:name w:val="[1]正文"/>
    <w:basedOn w:val="a"/>
    <w:qFormat/>
    <w:pPr>
      <w:autoSpaceDE w:val="0"/>
      <w:autoSpaceDN w:val="0"/>
      <w:ind w:firstLine="200"/>
    </w:pPr>
    <w:rPr>
      <w:color w:val="000000"/>
      <w:kern w:val="0"/>
      <w:lang w:val="zh-CN"/>
    </w:rPr>
  </w:style>
  <w:style w:type="paragraph" w:customStyle="1" w:styleId="TableParagraph">
    <w:name w:val="Table Paragraph"/>
    <w:basedOn w:val="a"/>
    <w:uiPriority w:val="1"/>
    <w:qFormat/>
    <w:rPr>
      <w:rFonts w:ascii="宋体" w:eastAsia="宋体" w:hAnsi="宋体" w:cs="宋体"/>
      <w:lang w:val="zh-CN" w:bidi="zh-CN"/>
    </w:rPr>
  </w:style>
  <w:style w:type="paragraph" w:styleId="a6">
    <w:name w:val="header"/>
    <w:basedOn w:val="a"/>
    <w:link w:val="a7"/>
    <w:rsid w:val="00C6501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C65010"/>
    <w:rPr>
      <w:kern w:val="2"/>
      <w:sz w:val="18"/>
      <w:szCs w:val="18"/>
    </w:rPr>
  </w:style>
  <w:style w:type="paragraph" w:styleId="a8">
    <w:name w:val="footer"/>
    <w:basedOn w:val="a"/>
    <w:link w:val="a9"/>
    <w:rsid w:val="00C65010"/>
    <w:pPr>
      <w:tabs>
        <w:tab w:val="center" w:pos="4153"/>
        <w:tab w:val="right" w:pos="8306"/>
      </w:tabs>
      <w:snapToGrid w:val="0"/>
      <w:jc w:val="left"/>
    </w:pPr>
    <w:rPr>
      <w:sz w:val="18"/>
      <w:szCs w:val="18"/>
    </w:rPr>
  </w:style>
  <w:style w:type="character" w:customStyle="1" w:styleId="a9">
    <w:name w:val="页脚 字符"/>
    <w:basedOn w:val="a0"/>
    <w:link w:val="a8"/>
    <w:rsid w:val="00C6501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Happy</cp:lastModifiedBy>
  <cp:revision>6</cp:revision>
  <cp:lastPrinted>2022-02-22T01:53:00Z</cp:lastPrinted>
  <dcterms:created xsi:type="dcterms:W3CDTF">2014-10-29T12:08:00Z</dcterms:created>
  <dcterms:modified xsi:type="dcterms:W3CDTF">2022-02-24T01:33:00Z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C8117B94E0914BC4AB980E6F22478BB1</vt:lpwstr>
  </property>
</Properties>
</file>