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default" w:ascii="Times New Roman" w:hAnsi="Times New Roman" w:eastAsia="宋体" w:cs="Times New Roman"/>
          <w:color w:val="auto"/>
          <w:kern w:val="0"/>
          <w:sz w:val="44"/>
          <w:szCs w:val="44"/>
          <w:highlight w:val="none"/>
          <w:lang w:bidi="ar"/>
        </w:rPr>
      </w:pPr>
    </w:p>
    <w:p>
      <w:pPr>
        <w:widowControl/>
        <w:jc w:val="center"/>
        <w:rPr>
          <w:rFonts w:hint="default" w:ascii="Times New Roman" w:hAnsi="Times New Roman" w:eastAsia="宋体" w:cs="Times New Roman"/>
          <w:color w:val="auto"/>
          <w:kern w:val="0"/>
          <w:sz w:val="44"/>
          <w:szCs w:val="44"/>
          <w:highlight w:val="none"/>
          <w:lang w:bidi="ar"/>
        </w:rPr>
      </w:pPr>
    </w:p>
    <w:p>
      <w:pPr>
        <w:widowControl/>
        <w:jc w:val="center"/>
        <w:rPr>
          <w:rFonts w:hint="default" w:ascii="Times New Roman" w:hAnsi="Times New Roman" w:eastAsia="宋体" w:cs="Times New Roman"/>
          <w:b/>
          <w:bCs/>
          <w:color w:val="auto"/>
          <w:kern w:val="0"/>
          <w:sz w:val="56"/>
          <w:szCs w:val="56"/>
          <w:highlight w:val="none"/>
          <w:lang w:bidi="ar"/>
        </w:rPr>
      </w:pPr>
    </w:p>
    <w:p>
      <w:pPr>
        <w:widowControl/>
        <w:jc w:val="center"/>
        <w:rPr>
          <w:rFonts w:hint="default" w:ascii="Times New Roman" w:hAnsi="Times New Roman" w:eastAsia="宋体" w:cs="Times New Roman"/>
          <w:b/>
          <w:bCs/>
          <w:color w:val="auto"/>
          <w:sz w:val="72"/>
          <w:szCs w:val="72"/>
          <w:highlight w:val="none"/>
        </w:rPr>
      </w:pPr>
      <w:r>
        <w:rPr>
          <w:rFonts w:hint="default" w:ascii="Times New Roman" w:hAnsi="Times New Roman" w:eastAsia="宋体" w:cs="Times New Roman"/>
          <w:b/>
          <w:bCs/>
          <w:color w:val="auto"/>
          <w:kern w:val="0"/>
          <w:sz w:val="72"/>
          <w:szCs w:val="72"/>
          <w:highlight w:val="none"/>
          <w:lang w:bidi="ar"/>
        </w:rPr>
        <w:t>建设项目环境影响报告表</w:t>
      </w:r>
    </w:p>
    <w:p>
      <w:pPr>
        <w:widowControl/>
        <w:jc w:val="center"/>
        <w:rPr>
          <w:rFonts w:hint="default" w:ascii="Times New Roman" w:hAnsi="Times New Roman" w:eastAsia="宋体" w:cs="Times New Roman"/>
          <w:b/>
          <w:bCs/>
          <w:color w:val="auto"/>
          <w:sz w:val="56"/>
          <w:szCs w:val="56"/>
          <w:highlight w:val="none"/>
        </w:rPr>
      </w:pPr>
      <w:r>
        <w:rPr>
          <w:rFonts w:hint="default" w:ascii="Times New Roman" w:hAnsi="Times New Roman" w:eastAsia="宋体" w:cs="Times New Roman"/>
          <w:b/>
          <w:bCs/>
          <w:color w:val="auto"/>
          <w:kern w:val="0"/>
          <w:sz w:val="56"/>
          <w:szCs w:val="56"/>
          <w:highlight w:val="none"/>
          <w:lang w:eastAsia="zh-CN" w:bidi="ar"/>
        </w:rPr>
        <w:t>（</w:t>
      </w:r>
      <w:r>
        <w:rPr>
          <w:rFonts w:hint="default" w:ascii="Times New Roman" w:hAnsi="Times New Roman" w:eastAsia="宋体" w:cs="Times New Roman"/>
          <w:b/>
          <w:bCs/>
          <w:color w:val="auto"/>
          <w:kern w:val="0"/>
          <w:sz w:val="56"/>
          <w:szCs w:val="56"/>
          <w:highlight w:val="none"/>
          <w:lang w:bidi="ar"/>
        </w:rPr>
        <w:t>污染影响类）</w:t>
      </w:r>
    </w:p>
    <w:p>
      <w:pPr>
        <w:widowControl/>
        <w:jc w:val="center"/>
        <w:rPr>
          <w:rFonts w:hint="default" w:ascii="Times New Roman" w:hAnsi="Times New Roman" w:eastAsia="宋体" w:cs="Times New Roman"/>
          <w:b/>
          <w:bCs/>
          <w:color w:val="auto"/>
          <w:kern w:val="0"/>
          <w:sz w:val="30"/>
          <w:szCs w:val="30"/>
          <w:highlight w:val="none"/>
          <w:lang w:bidi="ar"/>
        </w:rPr>
      </w:pPr>
    </w:p>
    <w:p>
      <w:pPr>
        <w:widowControl/>
        <w:jc w:val="center"/>
        <w:rPr>
          <w:rFonts w:hint="default" w:ascii="Times New Roman" w:hAnsi="Times New Roman" w:eastAsia="宋体" w:cs="Times New Roman"/>
          <w:b/>
          <w:bCs/>
          <w:color w:val="auto"/>
          <w:kern w:val="0"/>
          <w:sz w:val="30"/>
          <w:szCs w:val="30"/>
          <w:highlight w:val="none"/>
          <w:lang w:bidi="ar"/>
        </w:rPr>
      </w:pPr>
    </w:p>
    <w:p>
      <w:pPr>
        <w:widowControl/>
        <w:jc w:val="center"/>
        <w:rPr>
          <w:rFonts w:hint="default" w:ascii="Times New Roman" w:hAnsi="Times New Roman" w:eastAsia="宋体" w:cs="Times New Roman"/>
          <w:b/>
          <w:bCs/>
          <w:color w:val="auto"/>
          <w:kern w:val="0"/>
          <w:sz w:val="30"/>
          <w:szCs w:val="30"/>
          <w:highlight w:val="none"/>
          <w:lang w:bidi="ar"/>
        </w:rPr>
      </w:pPr>
    </w:p>
    <w:p>
      <w:pPr>
        <w:widowControl/>
        <w:jc w:val="center"/>
        <w:rPr>
          <w:rFonts w:hint="default" w:ascii="Times New Roman" w:hAnsi="Times New Roman" w:eastAsia="宋体" w:cs="Times New Roman"/>
          <w:b/>
          <w:bCs/>
          <w:color w:val="auto"/>
          <w:kern w:val="0"/>
          <w:sz w:val="30"/>
          <w:szCs w:val="30"/>
          <w:highlight w:val="none"/>
          <w:lang w:bidi="ar"/>
        </w:rPr>
      </w:pPr>
    </w:p>
    <w:p>
      <w:pPr>
        <w:widowControl/>
        <w:jc w:val="center"/>
        <w:rPr>
          <w:rFonts w:hint="default" w:ascii="Times New Roman" w:hAnsi="Times New Roman" w:eastAsia="宋体" w:cs="Times New Roman"/>
          <w:b/>
          <w:bCs/>
          <w:color w:val="auto"/>
          <w:kern w:val="0"/>
          <w:sz w:val="30"/>
          <w:szCs w:val="30"/>
          <w:highlight w:val="none"/>
          <w:u w:val="single"/>
          <w:lang w:bidi="ar"/>
        </w:rPr>
      </w:pPr>
    </w:p>
    <w:p>
      <w:pPr>
        <w:widowControl/>
        <w:jc w:val="center"/>
        <w:rPr>
          <w:rFonts w:hint="default" w:ascii="Times New Roman" w:hAnsi="Times New Roman" w:eastAsia="宋体" w:cs="Times New Roman"/>
          <w:b/>
          <w:bCs/>
          <w:color w:val="auto"/>
          <w:kern w:val="0"/>
          <w:sz w:val="30"/>
          <w:szCs w:val="30"/>
          <w:highlight w:val="none"/>
          <w:u w:val="single"/>
          <w:lang w:bidi="ar"/>
        </w:rPr>
      </w:pPr>
    </w:p>
    <w:p>
      <w:pPr>
        <w:widowControl/>
        <w:spacing w:line="360" w:lineRule="auto"/>
        <w:ind w:left="1921" w:leftChars="150" w:right="315" w:rightChars="150" w:hanging="1606" w:hangingChars="500"/>
        <w:jc w:val="left"/>
        <w:rPr>
          <w:rFonts w:hint="default" w:ascii="Times New Roman" w:hAnsi="Times New Roman" w:eastAsia="宋体" w:cs="Times New Roman"/>
          <w:b/>
          <w:bCs/>
          <w:color w:val="auto"/>
          <w:kern w:val="0"/>
          <w:sz w:val="32"/>
          <w:szCs w:val="32"/>
          <w:highlight w:val="none"/>
          <w:lang w:bidi="ar"/>
        </w:rPr>
      </w:pPr>
    </w:p>
    <w:p>
      <w:pPr>
        <w:widowControl/>
        <w:spacing w:line="360" w:lineRule="auto"/>
        <w:ind w:left="1921" w:leftChars="150" w:right="315" w:rightChars="150" w:hanging="1606" w:hangingChars="500"/>
        <w:jc w:val="left"/>
        <w:rPr>
          <w:rFonts w:hint="default" w:ascii="Times New Roman" w:hAnsi="Times New Roman" w:eastAsia="宋体" w:cs="Times New Roman"/>
          <w:b/>
          <w:bCs/>
          <w:color w:val="auto"/>
          <w:sz w:val="32"/>
          <w:szCs w:val="32"/>
          <w:highlight w:val="none"/>
          <w:lang w:val="en-US"/>
        </w:rPr>
      </w:pPr>
      <w:r>
        <w:rPr>
          <w:rFonts w:hint="default" w:ascii="Times New Roman" w:hAnsi="Times New Roman" w:eastAsia="宋体" w:cs="Times New Roman"/>
          <w:b/>
          <w:bCs/>
          <w:color w:val="auto"/>
          <w:kern w:val="0"/>
          <w:sz w:val="32"/>
          <w:szCs w:val="32"/>
          <w:highlight w:val="none"/>
          <w:lang w:bidi="ar"/>
        </w:rPr>
        <w:t>项目名称：</w:t>
      </w:r>
      <w:r>
        <w:rPr>
          <w:rFonts w:hint="eastAsia" w:ascii="Times New Roman" w:hAnsi="Times New Roman" w:eastAsia="宋体" w:cs="Times New Roman"/>
          <w:b/>
          <w:bCs/>
          <w:color w:val="auto"/>
          <w:kern w:val="0"/>
          <w:sz w:val="32"/>
          <w:szCs w:val="32"/>
          <w:highlight w:val="none"/>
          <w:u w:val="single"/>
          <w:lang w:val="en-US" w:eastAsia="zh-CN" w:bidi="ar"/>
        </w:rPr>
        <w:t>乌化社区乌拉山化肥厂家属楼供暖锅炉项目</w:t>
      </w:r>
      <w:r>
        <w:rPr>
          <w:rFonts w:hint="default" w:ascii="Times New Roman" w:hAnsi="Times New Roman" w:eastAsia="宋体" w:cs="Times New Roman"/>
          <w:b/>
          <w:bCs/>
          <w:color w:val="auto"/>
          <w:kern w:val="0"/>
          <w:sz w:val="32"/>
          <w:szCs w:val="32"/>
          <w:highlight w:val="none"/>
          <w:u w:val="single"/>
          <w:lang w:val="en-US" w:eastAsia="zh-CN" w:bidi="ar"/>
        </w:rPr>
        <w:t xml:space="preserve">  </w:t>
      </w:r>
    </w:p>
    <w:p>
      <w:pPr>
        <w:widowControl/>
        <w:spacing w:line="360" w:lineRule="auto"/>
        <w:ind w:left="315" w:leftChars="150" w:right="315" w:rightChars="150"/>
        <w:jc w:val="left"/>
        <w:rPr>
          <w:rFonts w:hint="default" w:ascii="Times New Roman" w:hAnsi="Times New Roman" w:eastAsia="宋体" w:cs="Times New Roman"/>
          <w:b/>
          <w:bCs/>
          <w:color w:val="auto"/>
          <w:kern w:val="0"/>
          <w:sz w:val="32"/>
          <w:szCs w:val="32"/>
          <w:highlight w:val="none"/>
          <w:lang w:val="en-US" w:bidi="ar"/>
        </w:rPr>
      </w:pPr>
      <w:r>
        <w:rPr>
          <w:rFonts w:hint="default" w:ascii="Times New Roman" w:hAnsi="Times New Roman" w:eastAsia="宋体" w:cs="Times New Roman"/>
          <w:b/>
          <w:bCs/>
          <w:color w:val="auto"/>
          <w:kern w:val="0"/>
          <w:sz w:val="32"/>
          <w:szCs w:val="32"/>
          <w:highlight w:val="none"/>
          <w:lang w:bidi="ar"/>
        </w:rPr>
        <w:t>建设单位</w:t>
      </w:r>
      <w:r>
        <w:rPr>
          <w:rFonts w:hint="default" w:ascii="Times New Roman" w:hAnsi="Times New Roman" w:eastAsia="宋体" w:cs="Times New Roman"/>
          <w:b/>
          <w:bCs/>
          <w:color w:val="auto"/>
          <w:kern w:val="0"/>
          <w:sz w:val="32"/>
          <w:szCs w:val="32"/>
          <w:highlight w:val="none"/>
          <w:lang w:eastAsia="zh-CN" w:bidi="ar"/>
        </w:rPr>
        <w:t>（</w:t>
      </w:r>
      <w:r>
        <w:rPr>
          <w:rFonts w:hint="default" w:ascii="Times New Roman" w:hAnsi="Times New Roman" w:eastAsia="宋体" w:cs="Times New Roman"/>
          <w:b/>
          <w:bCs/>
          <w:color w:val="auto"/>
          <w:kern w:val="0"/>
          <w:sz w:val="32"/>
          <w:szCs w:val="32"/>
          <w:highlight w:val="none"/>
          <w:lang w:bidi="ar"/>
        </w:rPr>
        <w:t>盖章）：</w:t>
      </w:r>
      <w:r>
        <w:rPr>
          <w:rFonts w:hint="default" w:ascii="Times New Roman" w:hAnsi="Times New Roman" w:eastAsia="宋体" w:cs="Times New Roman"/>
          <w:b/>
          <w:bCs/>
          <w:color w:val="auto"/>
          <w:kern w:val="0"/>
          <w:sz w:val="32"/>
          <w:szCs w:val="32"/>
          <w:highlight w:val="none"/>
          <w:u w:val="single"/>
          <w:lang w:val="en-US" w:eastAsia="zh-CN" w:bidi="ar"/>
        </w:rPr>
        <w:t xml:space="preserve">      乌拉山镇人民政府        </w:t>
      </w:r>
    </w:p>
    <w:p>
      <w:pPr>
        <w:widowControl/>
        <w:spacing w:line="360" w:lineRule="auto"/>
        <w:ind w:left="315" w:leftChars="150" w:right="315" w:rightChars="150"/>
        <w:jc w:val="left"/>
        <w:rPr>
          <w:rFonts w:hint="default" w:ascii="Times New Roman" w:hAnsi="Times New Roman" w:eastAsia="宋体" w:cs="Times New Roman"/>
          <w:b/>
          <w:bCs/>
          <w:color w:val="auto"/>
          <w:kern w:val="0"/>
          <w:sz w:val="32"/>
          <w:szCs w:val="32"/>
          <w:highlight w:val="none"/>
          <w:lang w:bidi="ar"/>
        </w:rPr>
      </w:pPr>
      <w:r>
        <w:rPr>
          <w:rFonts w:hint="default" w:ascii="Times New Roman" w:hAnsi="Times New Roman" w:eastAsia="宋体" w:cs="Times New Roman"/>
          <w:b/>
          <w:bCs/>
          <w:color w:val="auto"/>
          <w:kern w:val="0"/>
          <w:sz w:val="32"/>
          <w:szCs w:val="32"/>
          <w:highlight w:val="none"/>
          <w:lang w:bidi="ar"/>
        </w:rPr>
        <w:t>编制日期：</w:t>
      </w:r>
      <w:r>
        <w:rPr>
          <w:rFonts w:hint="default" w:ascii="Times New Roman" w:hAnsi="Times New Roman" w:eastAsia="宋体" w:cs="Times New Roman"/>
          <w:b/>
          <w:bCs/>
          <w:color w:val="auto"/>
          <w:kern w:val="0"/>
          <w:sz w:val="32"/>
          <w:szCs w:val="32"/>
          <w:highlight w:val="none"/>
          <w:u w:val="single"/>
          <w:lang w:bidi="ar"/>
        </w:rPr>
        <w:t xml:space="preserve">           202</w:t>
      </w:r>
      <w:r>
        <w:rPr>
          <w:rFonts w:hint="default" w:ascii="Times New Roman" w:hAnsi="Times New Roman" w:eastAsia="宋体" w:cs="Times New Roman"/>
          <w:b/>
          <w:bCs/>
          <w:color w:val="auto"/>
          <w:kern w:val="0"/>
          <w:sz w:val="32"/>
          <w:szCs w:val="32"/>
          <w:highlight w:val="none"/>
          <w:u w:val="single"/>
          <w:lang w:val="en-US" w:eastAsia="zh-CN" w:bidi="ar"/>
        </w:rPr>
        <w:t>2</w:t>
      </w:r>
      <w:r>
        <w:rPr>
          <w:rFonts w:hint="default" w:ascii="Times New Roman" w:hAnsi="Times New Roman" w:eastAsia="宋体" w:cs="Times New Roman"/>
          <w:b/>
          <w:bCs/>
          <w:color w:val="auto"/>
          <w:kern w:val="0"/>
          <w:sz w:val="32"/>
          <w:szCs w:val="32"/>
          <w:highlight w:val="none"/>
          <w:u w:val="single"/>
          <w:lang w:bidi="ar"/>
        </w:rPr>
        <w:t>年</w:t>
      </w:r>
      <w:r>
        <w:rPr>
          <w:rFonts w:hint="default" w:ascii="Times New Roman" w:hAnsi="Times New Roman" w:eastAsia="宋体" w:cs="Times New Roman"/>
          <w:b/>
          <w:bCs/>
          <w:color w:val="auto"/>
          <w:kern w:val="0"/>
          <w:sz w:val="32"/>
          <w:szCs w:val="32"/>
          <w:highlight w:val="none"/>
          <w:u w:val="single"/>
          <w:lang w:val="en-US" w:eastAsia="zh-CN" w:bidi="ar"/>
        </w:rPr>
        <w:t>10</w:t>
      </w:r>
      <w:r>
        <w:rPr>
          <w:rFonts w:hint="default" w:ascii="Times New Roman" w:hAnsi="Times New Roman" w:eastAsia="宋体" w:cs="Times New Roman"/>
          <w:b/>
          <w:bCs/>
          <w:color w:val="auto"/>
          <w:kern w:val="0"/>
          <w:sz w:val="32"/>
          <w:szCs w:val="32"/>
          <w:highlight w:val="none"/>
          <w:u w:val="single"/>
          <w:lang w:bidi="ar"/>
        </w:rPr>
        <w:t>月</w:t>
      </w:r>
      <w:r>
        <w:rPr>
          <w:rFonts w:hint="default" w:ascii="Times New Roman" w:hAnsi="Times New Roman" w:eastAsia="宋体" w:cs="Times New Roman"/>
          <w:b/>
          <w:bCs/>
          <w:color w:val="auto"/>
          <w:kern w:val="0"/>
          <w:sz w:val="32"/>
          <w:szCs w:val="32"/>
          <w:highlight w:val="none"/>
          <w:u w:val="single"/>
          <w:lang w:val="en-US" w:eastAsia="zh-CN" w:bidi="ar"/>
        </w:rPr>
        <w:t>9</w:t>
      </w:r>
      <w:r>
        <w:rPr>
          <w:rFonts w:hint="default" w:ascii="Times New Roman" w:hAnsi="Times New Roman" w:eastAsia="宋体" w:cs="Times New Roman"/>
          <w:b/>
          <w:bCs/>
          <w:color w:val="auto"/>
          <w:kern w:val="0"/>
          <w:sz w:val="32"/>
          <w:szCs w:val="32"/>
          <w:highlight w:val="none"/>
          <w:u w:val="single"/>
          <w:lang w:bidi="ar"/>
        </w:rPr>
        <w:t xml:space="preserve">日            </w:t>
      </w:r>
    </w:p>
    <w:p>
      <w:pPr>
        <w:widowControl/>
        <w:jc w:val="center"/>
        <w:rPr>
          <w:rFonts w:hint="default" w:ascii="Times New Roman" w:hAnsi="Times New Roman" w:eastAsia="宋体" w:cs="Times New Roman"/>
          <w:b/>
          <w:bCs/>
          <w:color w:val="auto"/>
          <w:kern w:val="0"/>
          <w:sz w:val="32"/>
          <w:szCs w:val="32"/>
          <w:highlight w:val="none"/>
          <w:lang w:bidi="ar"/>
        </w:rPr>
      </w:pPr>
    </w:p>
    <w:p>
      <w:pPr>
        <w:widowControl/>
        <w:jc w:val="center"/>
        <w:rPr>
          <w:rFonts w:hint="default" w:ascii="Times New Roman" w:hAnsi="Times New Roman" w:eastAsia="宋体" w:cs="Times New Roman"/>
          <w:b/>
          <w:bCs/>
          <w:color w:val="auto"/>
          <w:kern w:val="0"/>
          <w:sz w:val="32"/>
          <w:szCs w:val="32"/>
          <w:highlight w:val="none"/>
          <w:lang w:bidi="ar"/>
        </w:rPr>
      </w:pPr>
    </w:p>
    <w:p>
      <w:pPr>
        <w:widowControl/>
        <w:jc w:val="center"/>
        <w:rPr>
          <w:rFonts w:hint="default" w:ascii="Times New Roman" w:hAnsi="Times New Roman" w:eastAsia="宋体" w:cs="Times New Roman"/>
          <w:b/>
          <w:bCs/>
          <w:color w:val="auto"/>
          <w:kern w:val="0"/>
          <w:sz w:val="32"/>
          <w:szCs w:val="32"/>
          <w:highlight w:val="none"/>
          <w:lang w:bidi="ar"/>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color w:val="auto"/>
          <w:kern w:val="0"/>
          <w:sz w:val="32"/>
          <w:szCs w:val="32"/>
          <w:highlight w:val="none"/>
          <w:lang w:bidi="ar"/>
        </w:rPr>
        <w:t>中华人民共和国生态环境部制</w:t>
      </w:r>
    </w:p>
    <w:p>
      <w:pPr>
        <w:pStyle w:val="2"/>
        <w:rPr>
          <w:rFonts w:hint="default" w:ascii="Times New Roman" w:hAnsi="Times New Roman" w:eastAsia="宋体" w:cs="Times New Roman"/>
          <w:color w:val="auto"/>
        </w:rPr>
        <w:sectPr>
          <w:pgSz w:w="11906" w:h="16838"/>
          <w:pgMar w:top="1440" w:right="1800" w:bottom="1440" w:left="1800" w:header="851" w:footer="992" w:gutter="0"/>
          <w:cols w:space="425" w:num="1"/>
          <w:docGrid w:type="lines" w:linePitch="312" w:charSpace="0"/>
        </w:sectPr>
      </w:pPr>
    </w:p>
    <w:p>
      <w:pPr>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一、建设项目基本情况</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2760"/>
        <w:gridCol w:w="1642"/>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建设项目名称</w:t>
            </w:r>
          </w:p>
        </w:tc>
        <w:tc>
          <w:tcPr>
            <w:tcW w:w="7833" w:type="dxa"/>
            <w:gridSpan w:val="3"/>
            <w:vAlign w:val="center"/>
          </w:tcPr>
          <w:p>
            <w:pPr>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乌化社区乌拉山化肥厂家属楼供暖锅炉项目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项目代码</w:t>
            </w:r>
          </w:p>
        </w:tc>
        <w:tc>
          <w:tcPr>
            <w:tcW w:w="7833" w:type="dxa"/>
            <w:gridSpan w:val="3"/>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建设单位</w:t>
            </w:r>
          </w:p>
        </w:tc>
        <w:tc>
          <w:tcPr>
            <w:tcW w:w="7833"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乌拉山镇人民政府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建设单位联系人</w:t>
            </w:r>
          </w:p>
        </w:tc>
        <w:tc>
          <w:tcPr>
            <w:tcW w:w="2799" w:type="dxa"/>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高慧</w:t>
            </w:r>
          </w:p>
        </w:tc>
        <w:tc>
          <w:tcPr>
            <w:tcW w:w="1664"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联系方式</w:t>
            </w:r>
          </w:p>
        </w:tc>
        <w:tc>
          <w:tcPr>
            <w:tcW w:w="3370"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13847882209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建设地点</w:t>
            </w:r>
          </w:p>
        </w:tc>
        <w:tc>
          <w:tcPr>
            <w:tcW w:w="7833"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内蒙古巴彦淖尔市乌拉特前旗乌拉山镇乌化社区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地理坐标</w:t>
            </w:r>
          </w:p>
        </w:tc>
        <w:tc>
          <w:tcPr>
            <w:tcW w:w="7833" w:type="dxa"/>
            <w:gridSpan w:val="3"/>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lang w:val="en-US" w:eastAsia="zh-CN"/>
              </w:rPr>
              <w:t>39.24</w:t>
            </w:r>
            <w:r>
              <w:rPr>
                <w:rFonts w:hint="default" w:ascii="Times New Roman" w:hAnsi="Times New Roman" w:eastAsia="宋体" w:cs="Times New Roman"/>
                <w:color w:val="auto"/>
                <w:sz w:val="24"/>
                <w:szCs w:val="24"/>
                <w:highlight w:val="none"/>
              </w:rPr>
              <w:t>秒，40度</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lang w:val="en-US" w:eastAsia="zh-CN"/>
              </w:rPr>
              <w:t>35.63</w:t>
            </w:r>
            <w:r>
              <w:rPr>
                <w:rFonts w:hint="default" w:ascii="Times New Roman" w:hAnsi="Times New Roman" w:eastAsia="宋体" w:cs="Times New Roman"/>
                <w:color w:val="auto"/>
                <w:sz w:val="24"/>
                <w:szCs w:val="24"/>
                <w:highlight w:val="none"/>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国民经济</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行业类别</w:t>
            </w:r>
          </w:p>
        </w:tc>
        <w:tc>
          <w:tcPr>
            <w:tcW w:w="2799"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D4430  热力生产和供应业</w:t>
            </w:r>
          </w:p>
        </w:tc>
        <w:tc>
          <w:tcPr>
            <w:tcW w:w="1664"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行业类别</w:t>
            </w:r>
          </w:p>
        </w:tc>
        <w:tc>
          <w:tcPr>
            <w:tcW w:w="337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四十一、电力、热力生产和供应业--91热力生产和供应工程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包括建设单位自建自用的供热工程）--使用其他高污染燃料的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建设性质</w:t>
            </w:r>
          </w:p>
        </w:tc>
        <w:tc>
          <w:tcPr>
            <w:tcW w:w="2799" w:type="dxa"/>
            <w:vAlign w:val="center"/>
          </w:tcPr>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新建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迁建）</w:t>
            </w:r>
          </w:p>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position w:val="-4"/>
                <w:sz w:val="24"/>
                <w:szCs w:val="24"/>
                <w:highlight w:val="none"/>
                <w:lang w:eastAsia="zh-CN"/>
              </w:rPr>
              <w:instrText xml:space="preserve">,</w:instrText>
            </w:r>
            <w:r>
              <w:rPr>
                <w:rFonts w:hint="default" w:ascii="Times New Roman" w:hAnsi="Times New Roman" w:eastAsia="宋体" w:cs="Times New Roman"/>
                <w:b/>
                <w:color w:val="auto"/>
                <w:position w:val="0"/>
                <w:sz w:val="24"/>
                <w:szCs w:val="24"/>
                <w:highlight w:val="none"/>
                <w:lang w:eastAsia="zh-CN"/>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改建</w:t>
            </w:r>
          </w:p>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扩建</w:t>
            </w:r>
          </w:p>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技术改造</w:t>
            </w:r>
          </w:p>
        </w:tc>
        <w:tc>
          <w:tcPr>
            <w:tcW w:w="1664"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申报情形</w:t>
            </w:r>
          </w:p>
        </w:tc>
        <w:tc>
          <w:tcPr>
            <w:tcW w:w="3370" w:type="dxa"/>
            <w:vAlign w:val="center"/>
          </w:tcPr>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首次申报项目</w:t>
            </w:r>
          </w:p>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不予批准后再次申报项目</w:t>
            </w:r>
          </w:p>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超五年重新审核项目</w:t>
            </w:r>
          </w:p>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项目审批</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核准/备案）部门</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选填）</w:t>
            </w:r>
          </w:p>
        </w:tc>
        <w:tc>
          <w:tcPr>
            <w:tcW w:w="2799" w:type="dxa"/>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p>
        </w:tc>
        <w:tc>
          <w:tcPr>
            <w:tcW w:w="1664"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项目审批</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核准/备案）文号</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选填）</w:t>
            </w:r>
          </w:p>
        </w:tc>
        <w:tc>
          <w:tcPr>
            <w:tcW w:w="337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总投资</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万元）</w:t>
            </w:r>
          </w:p>
        </w:tc>
        <w:tc>
          <w:tcPr>
            <w:tcW w:w="2799" w:type="dxa"/>
            <w:vAlign w:val="center"/>
          </w:tcPr>
          <w:p>
            <w:pPr>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150.00</w:t>
            </w:r>
          </w:p>
        </w:tc>
        <w:tc>
          <w:tcPr>
            <w:tcW w:w="1664"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环保投资</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万元）</w:t>
            </w:r>
          </w:p>
        </w:tc>
        <w:tc>
          <w:tcPr>
            <w:tcW w:w="3370"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环保投资占比</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w:t>
            </w:r>
          </w:p>
        </w:tc>
        <w:tc>
          <w:tcPr>
            <w:tcW w:w="2799"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20.41</w:t>
            </w:r>
          </w:p>
        </w:tc>
        <w:tc>
          <w:tcPr>
            <w:tcW w:w="1664"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施工工期</w:t>
            </w:r>
          </w:p>
        </w:tc>
        <w:tc>
          <w:tcPr>
            <w:tcW w:w="337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是否开工建设</w:t>
            </w:r>
          </w:p>
        </w:tc>
        <w:tc>
          <w:tcPr>
            <w:tcW w:w="2799" w:type="dxa"/>
            <w:vAlign w:val="center"/>
          </w:tcPr>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position w:val="-1"/>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否</w:t>
            </w:r>
          </w:p>
          <w:p>
            <w:pPr>
              <w:spacing w:line="44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fldChar w:fldCharType="begin"/>
            </w:r>
            <w:r>
              <w:rPr>
                <w:rFonts w:hint="default" w:ascii="Times New Roman" w:hAnsi="Times New Roman" w:eastAsia="宋体" w:cs="Times New Roman"/>
                <w:b/>
                <w:color w:val="auto"/>
                <w:sz w:val="24"/>
                <w:szCs w:val="24"/>
                <w:highlight w:val="none"/>
              </w:rPr>
              <w:instrText xml:space="preserve"> eq \o\ac(</w:instrText>
            </w:r>
            <w:r>
              <w:rPr>
                <w:rFonts w:hint="default" w:ascii="Times New Roman" w:hAnsi="Times New Roman" w:eastAsia="宋体" w:cs="Times New Roman"/>
                <w:b/>
                <w:color w:val="auto"/>
                <w:position w:val="-4"/>
                <w:sz w:val="24"/>
                <w:szCs w:val="24"/>
                <w:highlight w:val="none"/>
              </w:rPr>
              <w:instrText xml:space="preserve">□</w:instrText>
            </w:r>
            <w:r>
              <w:rPr>
                <w:rFonts w:hint="default" w:ascii="Times New Roman" w:hAnsi="Times New Roman" w:eastAsia="宋体" w:cs="Times New Roman"/>
                <w:b/>
                <w:color w:val="auto"/>
                <w:sz w:val="24"/>
                <w:szCs w:val="24"/>
                <w:highlight w:val="none"/>
              </w:rPr>
              <w:instrText xml:space="preserve">)</w:instrText>
            </w:r>
            <w:r>
              <w:rPr>
                <w:rFonts w:hint="default" w:ascii="Times New Roman" w:hAnsi="Times New Roman" w:eastAsia="宋体" w:cs="Times New Roman"/>
                <w:b/>
                <w:color w:val="auto"/>
                <w:sz w:val="24"/>
                <w:szCs w:val="24"/>
                <w:highlight w:val="none"/>
              </w:rPr>
              <w:fldChar w:fldCharType="end"/>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p>
        </w:tc>
        <w:tc>
          <w:tcPr>
            <w:tcW w:w="1664"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用地</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用海）面积</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m</w:t>
            </w:r>
            <w:r>
              <w:rPr>
                <w:rFonts w:hint="default" w:ascii="Times New Roman" w:hAnsi="Times New Roman" w:eastAsia="宋体" w:cs="Times New Roman"/>
                <w:b/>
                <w:bCs/>
                <w:color w:val="auto"/>
                <w:sz w:val="24"/>
                <w:szCs w:val="24"/>
                <w:highlight w:val="none"/>
                <w:vertAlign w:val="superscript"/>
              </w:rPr>
              <w:t>2</w:t>
            </w:r>
            <w:r>
              <w:rPr>
                <w:rFonts w:hint="default" w:ascii="Times New Roman" w:hAnsi="Times New Roman" w:eastAsia="宋体" w:cs="Times New Roman"/>
                <w:b/>
                <w:bCs/>
                <w:color w:val="auto"/>
                <w:sz w:val="24"/>
                <w:szCs w:val="24"/>
                <w:highlight w:val="none"/>
              </w:rPr>
              <w:t>）</w:t>
            </w:r>
          </w:p>
        </w:tc>
        <w:tc>
          <w:tcPr>
            <w:tcW w:w="337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不新增占地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专项评价设置情况</w:t>
            </w:r>
          </w:p>
        </w:tc>
        <w:tc>
          <w:tcPr>
            <w:tcW w:w="7833"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规划情况</w:t>
            </w:r>
          </w:p>
        </w:tc>
        <w:tc>
          <w:tcPr>
            <w:tcW w:w="7833"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规划环境影响评价情况</w:t>
            </w:r>
          </w:p>
        </w:tc>
        <w:tc>
          <w:tcPr>
            <w:tcW w:w="7833"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规划及规划环境影响评价符合性分析</w:t>
            </w:r>
          </w:p>
        </w:tc>
        <w:tc>
          <w:tcPr>
            <w:tcW w:w="7833"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其他符合性分析</w:t>
            </w:r>
          </w:p>
        </w:tc>
        <w:tc>
          <w:tcPr>
            <w:tcW w:w="7833" w:type="dxa"/>
            <w:gridSpan w:val="3"/>
            <w:vAlign w:val="center"/>
          </w:tcPr>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1、产业政策符合性</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本项目属于热力生产和供应业</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highlight w:val="none"/>
              </w:rPr>
              <w:t>不属于</w:t>
            </w:r>
            <w:r>
              <w:rPr>
                <w:rFonts w:hint="default" w:ascii="Times New Roman" w:hAnsi="Times New Roman" w:eastAsia="宋体" w:cs="Times New Roman"/>
                <w:color w:val="auto"/>
                <w:sz w:val="24"/>
                <w:highlight w:val="none"/>
              </w:rPr>
              <w:t>《产业结构调整指导目录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2019年本）》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国家发展和改革委员会令 第29号）中限制类、淘汰类</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鼓励类</w:t>
            </w:r>
            <w:r>
              <w:rPr>
                <w:rFonts w:hint="default" w:ascii="Times New Roman" w:hAnsi="Times New Roman" w:eastAsia="宋体" w:cs="Times New Roman"/>
                <w:color w:val="auto"/>
                <w:sz w:val="24"/>
                <w:highlight w:val="none"/>
              </w:rPr>
              <w:t>，属于国家政策允许建设的项目</w:t>
            </w:r>
            <w:r>
              <w:rPr>
                <w:rFonts w:hint="default" w:ascii="Times New Roman" w:hAnsi="Times New Roman" w:eastAsia="宋体" w:cs="Times New Roman"/>
                <w:color w:val="auto"/>
                <w:sz w:val="24"/>
                <w:highlight w:val="none"/>
                <w:lang w:eastAsia="zh-CN"/>
              </w:rPr>
              <w:t>。</w:t>
            </w:r>
          </w:p>
          <w:p>
            <w:pPr>
              <w:pStyle w:val="10"/>
              <w:spacing w:line="360" w:lineRule="auto"/>
              <w:ind w:firstLine="482"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2、建设项目选址合理性</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本项目位于</w:t>
            </w:r>
            <w:r>
              <w:rPr>
                <w:rFonts w:hint="default" w:ascii="Times New Roman" w:hAnsi="Times New Roman" w:eastAsia="宋体" w:cs="Times New Roman"/>
                <w:color w:val="auto"/>
                <w:sz w:val="24"/>
                <w:highlight w:val="none"/>
                <w:lang w:eastAsia="zh-CN"/>
              </w:rPr>
              <w:t>内蒙古</w:t>
            </w:r>
            <w:r>
              <w:rPr>
                <w:rFonts w:hint="default" w:ascii="Times New Roman" w:hAnsi="Times New Roman" w:eastAsia="宋体" w:cs="Times New Roman"/>
                <w:color w:val="auto"/>
                <w:sz w:val="24"/>
                <w:highlight w:val="none"/>
                <w:lang w:val="en-US" w:eastAsia="zh-CN"/>
              </w:rPr>
              <w:t>巴彦淖尔市乌拉特前旗</w:t>
            </w:r>
            <w:r>
              <w:rPr>
                <w:rFonts w:hint="default" w:ascii="Times New Roman" w:hAnsi="Times New Roman" w:eastAsia="宋体" w:cs="Times New Roman"/>
                <w:color w:val="auto"/>
                <w:sz w:val="24"/>
                <w:highlight w:val="none"/>
                <w:lang w:eastAsia="zh-CN"/>
              </w:rPr>
              <w:t>乌拉山镇乌化社区</w:t>
            </w:r>
            <w:r>
              <w:rPr>
                <w:rFonts w:hint="default" w:ascii="Times New Roman" w:hAnsi="Times New Roman" w:eastAsia="宋体" w:cs="Times New Roman"/>
                <w:color w:val="auto"/>
                <w:sz w:val="24"/>
                <w:highlight w:val="none"/>
              </w:rPr>
              <w:t>内，</w:t>
            </w:r>
            <w:r>
              <w:rPr>
                <w:rFonts w:hint="default" w:ascii="Times New Roman" w:hAnsi="Times New Roman" w:eastAsia="宋体" w:cs="Times New Roman"/>
                <w:color w:val="auto"/>
                <w:sz w:val="24"/>
                <w:highlight w:val="none"/>
                <w:lang w:eastAsia="zh-CN"/>
              </w:rPr>
              <w:t>乌化社区于</w:t>
            </w:r>
            <w:r>
              <w:rPr>
                <w:rFonts w:hint="default" w:ascii="Times New Roman" w:hAnsi="Times New Roman" w:eastAsia="宋体" w:cs="Times New Roman"/>
                <w:color w:val="auto"/>
                <w:sz w:val="24"/>
                <w:highlight w:val="none"/>
                <w:lang w:val="en-US" w:eastAsia="zh-CN"/>
              </w:rPr>
              <w:t>2012年</w:t>
            </w:r>
            <w:r>
              <w:rPr>
                <w:rFonts w:hint="default" w:ascii="Times New Roman" w:hAnsi="Times New Roman" w:eastAsia="宋体" w:cs="Times New Roman"/>
                <w:color w:val="auto"/>
                <w:sz w:val="24"/>
                <w:highlight w:val="none"/>
                <w:lang w:eastAsia="zh-CN"/>
              </w:rPr>
              <w:t>已</w:t>
            </w:r>
            <w:r>
              <w:rPr>
                <w:rFonts w:hint="default" w:ascii="Times New Roman" w:hAnsi="Times New Roman" w:eastAsia="宋体" w:cs="Times New Roman"/>
                <w:color w:val="auto"/>
                <w:sz w:val="24"/>
                <w:highlight w:val="none"/>
                <w:lang w:val="en-US" w:eastAsia="zh-CN"/>
              </w:rPr>
              <w:t>建成1台</w:t>
            </w:r>
            <w:r>
              <w:rPr>
                <w:rFonts w:hint="eastAsia" w:ascii="Times New Roman" w:hAnsi="Times New Roman" w:eastAsia="宋体" w:cs="Times New Roman"/>
                <w:color w:val="auto"/>
                <w:sz w:val="24"/>
                <w:highlight w:val="none"/>
                <w:lang w:val="en-US" w:eastAsia="zh-CN"/>
              </w:rPr>
              <w:t>7MW</w:t>
            </w:r>
            <w:r>
              <w:rPr>
                <w:rFonts w:hint="default" w:ascii="Times New Roman" w:hAnsi="Times New Roman" w:eastAsia="宋体" w:cs="Times New Roman"/>
                <w:color w:val="auto"/>
                <w:sz w:val="24"/>
                <w:highlight w:val="none"/>
                <w:lang w:val="en-US" w:eastAsia="zh-CN"/>
              </w:rPr>
              <w:t>燃煤热水锅炉，用于乌化社区居民采暖季热力供应，供暖范围为乌化社区内1056套居民住房，供暖面积为74221m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lang w:val="en-US" w:eastAsia="zh-CN"/>
              </w:rPr>
              <w:t>利用原有锅炉房，</w:t>
            </w:r>
            <w:r>
              <w:rPr>
                <w:rFonts w:hint="default" w:ascii="Times New Roman" w:hAnsi="Times New Roman" w:eastAsia="宋体" w:cs="Times New Roman"/>
                <w:color w:val="auto"/>
                <w:sz w:val="24"/>
                <w:highlight w:val="none"/>
                <w:lang w:eastAsia="zh-CN"/>
              </w:rPr>
              <w:t>拆除原有</w:t>
            </w:r>
            <w:r>
              <w:rPr>
                <w:rFonts w:hint="default" w:ascii="Times New Roman" w:hAnsi="Times New Roman" w:eastAsia="宋体" w:cs="Times New Roman"/>
                <w:color w:val="auto"/>
                <w:sz w:val="24"/>
                <w:highlight w:val="none"/>
                <w:lang w:val="en-US" w:eastAsia="zh-CN"/>
              </w:rPr>
              <w:t>1台</w:t>
            </w:r>
            <w:r>
              <w:rPr>
                <w:rFonts w:hint="eastAsia" w:ascii="Times New Roman" w:hAnsi="Times New Roman" w:eastAsia="宋体" w:cs="Times New Roman"/>
                <w:color w:val="auto"/>
                <w:sz w:val="24"/>
                <w:highlight w:val="none"/>
                <w:lang w:val="en-US" w:eastAsia="zh-CN"/>
              </w:rPr>
              <w:t>7MW</w:t>
            </w:r>
            <w:r>
              <w:rPr>
                <w:rFonts w:hint="default" w:ascii="Times New Roman" w:hAnsi="Times New Roman" w:eastAsia="宋体" w:cs="Times New Roman"/>
                <w:color w:val="auto"/>
                <w:sz w:val="24"/>
                <w:highlight w:val="none"/>
                <w:lang w:eastAsia="zh-CN"/>
              </w:rPr>
              <w:t>燃煤热水锅炉，</w:t>
            </w:r>
            <w:r>
              <w:rPr>
                <w:rFonts w:hint="default" w:ascii="Times New Roman" w:hAnsi="Times New Roman" w:eastAsia="宋体" w:cs="Times New Roman"/>
                <w:color w:val="auto"/>
                <w:sz w:val="24"/>
                <w:highlight w:val="none"/>
                <w:lang w:val="en-US" w:eastAsia="zh-CN"/>
              </w:rPr>
              <w:t>在原有位置新建1台</w:t>
            </w:r>
            <w:r>
              <w:rPr>
                <w:rFonts w:hint="eastAsia" w:ascii="Times New Roman" w:hAnsi="Times New Roman" w:eastAsia="宋体" w:cs="Times New Roman"/>
                <w:color w:val="auto"/>
                <w:sz w:val="24"/>
                <w:highlight w:val="none"/>
                <w:lang w:val="en-US" w:eastAsia="zh-CN"/>
              </w:rPr>
              <w:t>7MW</w:t>
            </w:r>
            <w:r>
              <w:rPr>
                <w:rFonts w:hint="default" w:ascii="Times New Roman" w:hAnsi="Times New Roman" w:eastAsia="宋体" w:cs="Times New Roman"/>
                <w:color w:val="auto"/>
                <w:sz w:val="24"/>
                <w:highlight w:val="none"/>
                <w:lang w:val="en-US" w:eastAsia="zh-CN"/>
              </w:rPr>
              <w:t>生物质热水锅炉，生物质热水锅炉及配套设施均依托</w:t>
            </w:r>
            <w:r>
              <w:rPr>
                <w:rFonts w:hint="default" w:ascii="Times New Roman" w:hAnsi="Times New Roman" w:eastAsia="宋体" w:cs="Times New Roman"/>
                <w:color w:val="auto"/>
                <w:sz w:val="24"/>
                <w:highlight w:val="none"/>
                <w:lang w:eastAsia="zh-CN"/>
              </w:rPr>
              <w:t>原有</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lang w:eastAsia="zh-CN"/>
              </w:rPr>
              <w:t>，原有</w:t>
            </w:r>
            <w:r>
              <w:rPr>
                <w:rFonts w:hint="default" w:ascii="Times New Roman" w:hAnsi="Times New Roman" w:eastAsia="宋体" w:cs="Times New Roman"/>
                <w:color w:val="auto"/>
                <w:sz w:val="24"/>
                <w:highlight w:val="none"/>
              </w:rPr>
              <w:t>供水、供电设施齐全，公用工程依托条件较好；</w:t>
            </w:r>
            <w:r>
              <w:rPr>
                <w:rFonts w:hint="default" w:ascii="Times New Roman" w:hAnsi="Times New Roman" w:eastAsia="宋体" w:cs="Times New Roman"/>
                <w:color w:val="auto"/>
                <w:sz w:val="24"/>
                <w:highlight w:val="none"/>
                <w:lang w:eastAsia="zh-CN"/>
              </w:rPr>
              <w:t>社</w:t>
            </w:r>
            <w:r>
              <w:rPr>
                <w:rFonts w:hint="default" w:ascii="Times New Roman" w:hAnsi="Times New Roman" w:eastAsia="宋体" w:cs="Times New Roman"/>
                <w:color w:val="auto"/>
                <w:sz w:val="24"/>
                <w:highlight w:val="none"/>
              </w:rPr>
              <w:t>区周边无准水源保护地、饮用水源保护区、风景名胜区、自然保护区、文物古迹等敏感点。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本项目运营期废气经处理后均可达标排放；生活污水排入防渗化粪池内，定期清运至乌拉特前旗污水处理厂处理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软水制备废水和锅炉排污水用于</w:t>
            </w:r>
            <w:r>
              <w:rPr>
                <w:rFonts w:hint="default" w:ascii="Times New Roman" w:hAnsi="Times New Roman" w:eastAsia="宋体" w:cs="Times New Roman"/>
                <w:color w:val="auto"/>
                <w:sz w:val="24"/>
                <w:highlight w:val="none"/>
                <w:lang w:eastAsia="zh-CN"/>
              </w:rPr>
              <w:t>灰渣间抑尘、出渣机补水、空地降尘洒水，不外排；脱硫废水循环使用，不外排</w:t>
            </w:r>
            <w:r>
              <w:rPr>
                <w:rFonts w:hint="default" w:ascii="Times New Roman" w:hAnsi="Times New Roman" w:eastAsia="宋体" w:cs="Times New Roman"/>
                <w:color w:val="auto"/>
                <w:sz w:val="24"/>
                <w:highlight w:val="none"/>
              </w:rPr>
              <w:t>；噪声对周围声环境影响较小；固废全部妥善处置；对周围环境影响较小。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GB"/>
              </w:rPr>
              <w:t>综上所述，</w:t>
            </w:r>
            <w:r>
              <w:rPr>
                <w:rFonts w:hint="default" w:ascii="Times New Roman" w:hAnsi="Times New Roman" w:eastAsia="宋体" w:cs="Times New Roman"/>
                <w:color w:val="auto"/>
                <w:sz w:val="24"/>
                <w:highlight w:val="none"/>
              </w:rPr>
              <w:t>本项目选址较为合理。</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 xml:space="preserve">3、与“三线一单”符合性分析 </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1）生态保护红线</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根据巴彦淖尔市人民政府于2021年1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eastAsia="zh-CN"/>
              </w:rPr>
              <w:t>发布</w:t>
            </w:r>
            <w:r>
              <w:rPr>
                <w:rFonts w:hint="default" w:ascii="Times New Roman" w:hAnsi="Times New Roman" w:eastAsia="宋体" w:cs="Times New Roman"/>
                <w:color w:val="auto"/>
                <w:sz w:val="24"/>
                <w:szCs w:val="24"/>
                <w:highlight w:val="none"/>
              </w:rPr>
              <w:t>的《关于印发&lt;巴彦淖尔市“三线一单”生态环境分区管控方案&gt;的通知》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巴政发[2021]9号）</w:t>
            </w:r>
            <w:r>
              <w:rPr>
                <w:rFonts w:hint="default" w:ascii="Times New Roman" w:hAnsi="Times New Roman" w:eastAsia="宋体" w:cs="Times New Roman"/>
                <w:color w:val="auto"/>
                <w:sz w:val="24"/>
                <w:szCs w:val="24"/>
                <w:highlight w:val="none"/>
                <w:lang w:eastAsia="zh-CN"/>
              </w:rPr>
              <w:t>生态环境</w:t>
            </w:r>
            <w:r>
              <w:rPr>
                <w:rFonts w:hint="default" w:ascii="Times New Roman" w:hAnsi="Times New Roman" w:eastAsia="宋体" w:cs="Times New Roman"/>
                <w:color w:val="auto"/>
                <w:sz w:val="24"/>
                <w:szCs w:val="24"/>
                <w:highlight w:val="none"/>
              </w:rPr>
              <w:t>分区管控体系：全市共划定环境管控单元249个，包括优先保护单元、重点管控单元、一般管控单元三类，实施分类管控</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根据乌拉特前旗自然资源局出具的《关于核查</w:t>
            </w:r>
            <w:r>
              <w:rPr>
                <w:rFonts w:hint="eastAsia" w:ascii="Times New Roman" w:hAnsi="Times New Roman" w:eastAsia="宋体" w:cs="Times New Roman"/>
                <w:color w:val="auto"/>
                <w:sz w:val="24"/>
                <w:highlight w:val="none"/>
                <w:lang w:eastAsia="zh-CN"/>
              </w:rPr>
              <w:t>乌化社区乌拉山化肥厂家属楼供暖锅炉项目</w:t>
            </w:r>
            <w:r>
              <w:rPr>
                <w:rFonts w:hint="default" w:ascii="Times New Roman" w:hAnsi="Times New Roman" w:eastAsia="宋体" w:cs="Times New Roman"/>
                <w:color w:val="auto"/>
                <w:sz w:val="24"/>
                <w:highlight w:val="none"/>
              </w:rPr>
              <w:t>是否位于生态保护红线内的复函》</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乌自然资函发[2022]</w:t>
            </w:r>
            <w:r>
              <w:rPr>
                <w:rFonts w:hint="default" w:ascii="Times New Roman" w:hAnsi="Times New Roman" w:eastAsia="宋体" w:cs="Times New Roman"/>
                <w:color w:val="auto"/>
                <w:sz w:val="24"/>
                <w:highlight w:val="none"/>
                <w:lang w:val="en-US" w:eastAsia="zh-CN"/>
              </w:rPr>
              <w:t>286</w:t>
            </w:r>
            <w:r>
              <w:rPr>
                <w:rFonts w:hint="default" w:ascii="Times New Roman" w:hAnsi="Times New Roman" w:eastAsia="宋体" w:cs="Times New Roman"/>
                <w:color w:val="auto"/>
                <w:sz w:val="24"/>
                <w:highlight w:val="none"/>
              </w:rPr>
              <w:t>号）可知，本项目不在乌拉特前旗生态保护红线范围内。</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2）环境质量底线</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项目区域环境空气属于《环境空气质量标准》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GB3095-2012）中二类功能区</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声环境属于《声环境质量标准》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GB3096-2008）中2类功能区。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本项目运营期废气经处理后均可达标排放；生活污水排入防渗化粪池内，定期清运至乌拉特前旗污水处理厂处理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软水制备废水和锅炉排污水用于</w:t>
            </w:r>
            <w:r>
              <w:rPr>
                <w:rFonts w:hint="default" w:ascii="Times New Roman" w:hAnsi="Times New Roman" w:eastAsia="宋体" w:cs="Times New Roman"/>
                <w:color w:val="auto"/>
                <w:sz w:val="24"/>
                <w:highlight w:val="none"/>
                <w:lang w:eastAsia="zh-CN"/>
              </w:rPr>
              <w:t>灰渣间抑尘、出渣机补水、空地降尘洒水，不外排；脱硫废水循环使用，不外排</w:t>
            </w:r>
            <w:r>
              <w:rPr>
                <w:rFonts w:hint="default" w:ascii="Times New Roman" w:hAnsi="Times New Roman" w:eastAsia="宋体" w:cs="Times New Roman"/>
                <w:color w:val="auto"/>
                <w:sz w:val="24"/>
                <w:highlight w:val="none"/>
              </w:rPr>
              <w:t>；噪声对周围声环境影响较小；固废全部妥善处置；对周围环境影响较小。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综上，项目三废及噪声均得到有效处理，不会明显降低区域环境质量现状。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3）资源利用上线</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建成运行后通过内部管理、设备选择、原辅材料的选用和管理、废物综合利用、污染治理等多方面采取可行的防治措施，以“节能、降耗、减污”为目标，有效地控制污染，项目的水、电等资源不会突破区域的资源利用上线。</w:t>
            </w:r>
          </w:p>
          <w:p>
            <w:pPr>
              <w:keepNext w:val="0"/>
              <w:keepLines w:val="0"/>
              <w:pageBreakBefore w:val="0"/>
              <w:widowControl w:val="0"/>
              <w:suppressLineNumbers w:val="0"/>
              <w:shd w:val="clear"/>
              <w:kinsoku/>
              <w:wordWrap/>
              <w:overflowPunct/>
              <w:topLinePunct/>
              <w:autoSpaceDE w:val="0"/>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4）生态环境准入清单</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根据巴彦淖尔市环境管控单元图，本项目厂区位于乌拉特前旗城镇空间，环境管控单元编码ZH15082320003，管控单元类别为重点管控单元，本项目生态环境准入清单符合性见下表。</w:t>
            </w:r>
          </w:p>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eastAsia="zh-CN"/>
              </w:rPr>
              <w:t>本项目与《</w:t>
            </w:r>
            <w:r>
              <w:rPr>
                <w:rFonts w:hint="default" w:ascii="Times New Roman" w:hAnsi="Times New Roman" w:eastAsia="宋体" w:cs="Times New Roman"/>
                <w:b/>
                <w:bCs/>
                <w:color w:val="auto"/>
                <w:sz w:val="24"/>
                <w:szCs w:val="24"/>
                <w:lang w:val="en-US" w:eastAsia="zh-CN"/>
              </w:rPr>
              <w:t>巴彦淖尔市总体准入要求</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符合性分析</w:t>
            </w:r>
            <w:r>
              <w:rPr>
                <w:rFonts w:hint="default" w:ascii="Times New Roman" w:hAnsi="Times New Roman" w:eastAsia="宋体" w:cs="Times New Roman"/>
                <w:b/>
                <w:bCs/>
                <w:color w:val="auto"/>
                <w:sz w:val="24"/>
                <w:szCs w:val="24"/>
                <w:lang w:eastAsia="zh-CN"/>
              </w:rPr>
              <w:t>一览表</w:t>
            </w:r>
          </w:p>
          <w:tbl>
            <w:tblPr>
              <w:tblStyle w:val="22"/>
              <w:tblW w:w="7483" w:type="dxa"/>
              <w:jc w:val="center"/>
              <w:tblLayout w:type="fixed"/>
              <w:tblCellMar>
                <w:top w:w="0" w:type="dxa"/>
                <w:left w:w="108" w:type="dxa"/>
                <w:bottom w:w="0" w:type="dxa"/>
                <w:right w:w="108" w:type="dxa"/>
              </w:tblCellMar>
            </w:tblPr>
            <w:tblGrid>
              <w:gridCol w:w="628"/>
              <w:gridCol w:w="3972"/>
              <w:gridCol w:w="2253"/>
              <w:gridCol w:w="630"/>
            </w:tblGrid>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管控类型</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总体要求</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1、除现有化工园区外，不再布局新的化工园区。现有园区扩大面积的，要与黄河中上游流域巴彦淖尔段及主要支流岸线至少保持1公里距离。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新建、改建、扩建“两高”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4、各类园区及建设项目选址必须符合当地国土空间规划。新建工业企业原则上应在工业园区内建设并符合相关规划和园区定位。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禁养区范围内的已建成的畜禽养殖场（小区）和养殖专业户，由所在地人民政府负责责令限期搬迁、关闭或取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1、本项目为热力生产和供应业，不在化工园区范围内，同时也不涉及新化工园区的布局。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2、本项目不属于“两高”项目；不属于石化、化工、焦化、有色金属冶炼、平板玻璃项目。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highlight w:val="none"/>
                      <w:lang w:eastAsia="zh-CN"/>
                    </w:rPr>
                    <w:t>本项目所在地巴彦淖尔市乌拉特前旗</w:t>
                  </w:r>
                  <w:r>
                    <w:rPr>
                      <w:rFonts w:hint="default" w:ascii="Times New Roman" w:hAnsi="Times New Roman" w:eastAsia="宋体" w:cs="Times New Roman"/>
                      <w:color w:val="auto"/>
                      <w:kern w:val="0"/>
                      <w:sz w:val="21"/>
                      <w:szCs w:val="21"/>
                      <w:highlight w:val="none"/>
                      <w:lang w:val="en-US" w:eastAsia="zh-CN"/>
                    </w:rPr>
                    <w:t>2021年大气环境中6项</w:t>
                  </w:r>
                  <w:r>
                    <w:rPr>
                      <w:rFonts w:hint="default" w:ascii="Times New Roman" w:hAnsi="Times New Roman" w:eastAsia="宋体" w:cs="Times New Roman"/>
                      <w:color w:val="auto"/>
                      <w:kern w:val="0"/>
                      <w:sz w:val="21"/>
                      <w:szCs w:val="21"/>
                      <w:highlight w:val="none"/>
                    </w:rPr>
                    <w:t>污染物</w:t>
                  </w:r>
                  <w:r>
                    <w:rPr>
                      <w:rFonts w:hint="default" w:ascii="Times New Roman" w:hAnsi="Times New Roman" w:eastAsia="宋体" w:cs="Times New Roman"/>
                      <w:color w:val="auto"/>
                      <w:kern w:val="0"/>
                      <w:sz w:val="21"/>
                      <w:szCs w:val="21"/>
                      <w:highlight w:val="none"/>
                      <w:lang w:eastAsia="zh-CN"/>
                    </w:rPr>
                    <w:t>中</w:t>
                  </w: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、PM</w:t>
                  </w:r>
                  <w:bookmarkStart w:id="28" w:name="_GoBack"/>
                  <w:r>
                    <w:rPr>
                      <w:rFonts w:hint="default" w:ascii="Times New Roman" w:hAnsi="Times New Roman" w:eastAsia="宋体" w:cs="Times New Roman"/>
                      <w:color w:val="auto"/>
                      <w:kern w:val="0"/>
                      <w:sz w:val="21"/>
                      <w:szCs w:val="21"/>
                      <w:highlight w:val="none"/>
                      <w:vertAlign w:val="subscript"/>
                    </w:rPr>
                    <w:t>10</w:t>
                  </w:r>
                  <w:bookmarkEnd w:id="28"/>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r>
                    <w:rPr>
                      <w:rFonts w:hint="default" w:ascii="Times New Roman" w:hAnsi="Times New Roman" w:eastAsia="宋体" w:cs="Times New Roman"/>
                      <w:color w:val="auto"/>
                      <w:kern w:val="0"/>
                      <w:sz w:val="21"/>
                      <w:szCs w:val="21"/>
                      <w:highlight w:val="none"/>
                    </w:rPr>
                    <w:t>、CO和O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质量浓度</w:t>
                  </w:r>
                  <w:r>
                    <w:rPr>
                      <w:rFonts w:hint="default" w:ascii="Times New Roman" w:hAnsi="Times New Roman" w:eastAsia="宋体" w:cs="Times New Roman"/>
                      <w:color w:val="auto"/>
                      <w:kern w:val="0"/>
                      <w:sz w:val="21"/>
                      <w:szCs w:val="21"/>
                      <w:highlight w:val="none"/>
                      <w:lang w:eastAsia="zh-CN"/>
                    </w:rPr>
                    <w:t>均满足</w:t>
                  </w:r>
                  <w:r>
                    <w:rPr>
                      <w:rFonts w:hint="default" w:ascii="Times New Roman" w:hAnsi="Times New Roman" w:eastAsia="宋体" w:cs="Times New Roman"/>
                      <w:color w:val="auto"/>
                      <w:kern w:val="0"/>
                      <w:sz w:val="21"/>
                      <w:szCs w:val="21"/>
                      <w:highlight w:val="none"/>
                    </w:rPr>
                    <w:t>《环境空气质量标准》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GB3095-2012）二级标准</w:t>
                  </w:r>
                  <w:r>
                    <w:rPr>
                      <w:rFonts w:hint="default" w:ascii="Times New Roman" w:hAnsi="Times New Roman" w:eastAsia="宋体" w:cs="Times New Roman"/>
                      <w:color w:val="auto"/>
                      <w:kern w:val="0"/>
                      <w:sz w:val="21"/>
                      <w:szCs w:val="21"/>
                      <w:highlight w:val="none"/>
                      <w:vertAlign w:val="baseline"/>
                    </w:rPr>
                    <w:t>限值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由此可判断</w:t>
                  </w:r>
                  <w:r>
                    <w:rPr>
                      <w:rFonts w:hint="default" w:ascii="Times New Roman" w:hAnsi="Times New Roman" w:eastAsia="宋体" w:cs="Times New Roman"/>
                      <w:color w:val="auto"/>
                      <w:kern w:val="0"/>
                      <w:sz w:val="21"/>
                      <w:szCs w:val="21"/>
                      <w:highlight w:val="none"/>
                      <w:lang w:eastAsia="zh-CN"/>
                    </w:rPr>
                    <w:t>乌拉特前旗为</w:t>
                  </w:r>
                  <w:r>
                    <w:rPr>
                      <w:rFonts w:hint="default" w:ascii="Times New Roman" w:hAnsi="Times New Roman" w:eastAsia="宋体" w:cs="Times New Roman"/>
                      <w:color w:val="auto"/>
                      <w:kern w:val="0"/>
                      <w:sz w:val="21"/>
                      <w:szCs w:val="21"/>
                      <w:highlight w:val="none"/>
                    </w:rPr>
                    <w:t>达标区</w:t>
                  </w:r>
                  <w:r>
                    <w:rPr>
                      <w:rFonts w:hint="default" w:ascii="Times New Roman" w:hAnsi="Times New Roman" w:eastAsia="宋体" w:cs="Times New Roman"/>
                      <w:color w:val="auto"/>
                      <w:kern w:val="0"/>
                      <w:sz w:val="21"/>
                      <w:szCs w:val="21"/>
                      <w:lang w:val="en-US" w:eastAsia="zh-CN"/>
                    </w:rPr>
                    <w:t>；各污染物排放量较小，并且再采取相应环保措施后，各污染物均可达标排放，不会造成区域环境质量恶化。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4、本项目位于内蒙古巴彦淖尔市乌拉特前旗乌拉山镇乌化社区内，用地性质为建设用地，不占用耕地、基本农田。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5、本项目不属于矿山企业。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6、本项目为热力生产和供应业，符合国家产业政策，不违反产业准入负面清单要求。本项目不属于矿产资源开采加工、火电、化工、冶金、有色等重大项目。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7、本项目为热力生产和供应业，不属于畜禽养殖业。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8、根据《建设项目环境影响评价分类管理名录（2021年版）》，本项目应编制环境影响报告表，根据预测，本项目各污染物均可达标排放。</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本项目与《</w:t>
            </w:r>
            <w:r>
              <w:rPr>
                <w:rFonts w:hint="default" w:ascii="Times New Roman" w:hAnsi="Times New Roman" w:eastAsia="宋体" w:cs="Times New Roman"/>
                <w:b/>
                <w:bCs/>
                <w:color w:val="auto"/>
                <w:sz w:val="24"/>
                <w:szCs w:val="24"/>
              </w:rPr>
              <w:t>巴彦淖尔市</w:t>
            </w:r>
            <w:r>
              <w:rPr>
                <w:rFonts w:hint="default" w:ascii="Times New Roman" w:hAnsi="Times New Roman" w:eastAsia="宋体" w:cs="Times New Roman"/>
                <w:b/>
                <w:bCs/>
                <w:color w:val="auto"/>
                <w:sz w:val="24"/>
                <w:szCs w:val="24"/>
                <w:lang w:val="en-US" w:eastAsia="zh-CN"/>
              </w:rPr>
              <w:t>乌拉特前旗</w:t>
            </w:r>
            <w:r>
              <w:rPr>
                <w:rFonts w:hint="default" w:ascii="Times New Roman" w:hAnsi="Times New Roman" w:eastAsia="宋体" w:cs="Times New Roman"/>
                <w:b/>
                <w:bCs/>
                <w:color w:val="auto"/>
                <w:sz w:val="24"/>
                <w:szCs w:val="24"/>
              </w:rPr>
              <w:t>生态环境准入清单</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lang w:val="en-US" w:eastAsia="zh-CN"/>
              </w:rPr>
              <w:t>一览</w:t>
            </w:r>
            <w:r>
              <w:rPr>
                <w:rFonts w:hint="default" w:ascii="Times New Roman" w:hAnsi="Times New Roman" w:eastAsia="宋体" w:cs="Times New Roman"/>
                <w:b/>
                <w:bCs/>
                <w:color w:val="auto"/>
                <w:sz w:val="24"/>
                <w:szCs w:val="24"/>
              </w:rPr>
              <w:t>表</w:t>
            </w:r>
          </w:p>
          <w:tbl>
            <w:tblPr>
              <w:tblStyle w:val="22"/>
              <w:tblW w:w="7483" w:type="dxa"/>
              <w:jc w:val="center"/>
              <w:tblLayout w:type="fixed"/>
              <w:tblCellMar>
                <w:top w:w="0" w:type="dxa"/>
                <w:left w:w="108" w:type="dxa"/>
                <w:bottom w:w="0" w:type="dxa"/>
                <w:right w:w="108" w:type="dxa"/>
              </w:tblCellMar>
            </w:tblPr>
            <w:tblGrid>
              <w:gridCol w:w="723"/>
              <w:gridCol w:w="550"/>
              <w:gridCol w:w="492"/>
              <w:gridCol w:w="410"/>
              <w:gridCol w:w="591"/>
              <w:gridCol w:w="2445"/>
              <w:gridCol w:w="1504"/>
              <w:gridCol w:w="768"/>
            </w:tblGrid>
            <w:tr>
              <w:tblPrEx>
                <w:tblCellMar>
                  <w:top w:w="0" w:type="dxa"/>
                  <w:left w:w="108" w:type="dxa"/>
                  <w:bottom w:w="0" w:type="dxa"/>
                  <w:right w:w="108" w:type="dxa"/>
                </w:tblCellMar>
              </w:tblPrEx>
              <w:trPr>
                <w:trHeight w:val="340" w:hRule="atLeast"/>
                <w:jc w:val="center"/>
              </w:trPr>
              <w:tc>
                <w:tcPr>
                  <w:tcW w:w="743" w:type="dxa"/>
                  <w:tcBorders>
                    <w:top w:val="single" w:color="auto" w:sz="4" w:space="0"/>
                    <w:left w:val="single" w:color="auto"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码</w:t>
                  </w:r>
                </w:p>
              </w:tc>
              <w:tc>
                <w:tcPr>
                  <w:tcW w:w="563"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环境管控单元名称</w:t>
                  </w:r>
                </w:p>
              </w:tc>
              <w:tc>
                <w:tcPr>
                  <w:tcW w:w="503"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管控单元类别</w:t>
                  </w:r>
                </w:p>
              </w:tc>
              <w:tc>
                <w:tcPr>
                  <w:tcW w:w="41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生态保护重点</w:t>
                  </w:r>
                </w:p>
              </w:tc>
              <w:tc>
                <w:tcPr>
                  <w:tcW w:w="3139" w:type="dxa"/>
                  <w:gridSpan w:val="2"/>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环境管控要求</w:t>
                  </w:r>
                </w:p>
              </w:tc>
              <w:tc>
                <w:tcPr>
                  <w:tcW w:w="1555"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790" w:type="dxa"/>
                  <w:tcBorders>
                    <w:top w:val="single" w:color="auto" w:sz="4" w:space="0"/>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性</w:t>
                  </w:r>
                </w:p>
              </w:tc>
            </w:tr>
            <w:tr>
              <w:tblPrEx>
                <w:tblCellMar>
                  <w:top w:w="0" w:type="dxa"/>
                  <w:left w:w="108" w:type="dxa"/>
                  <w:bottom w:w="0" w:type="dxa"/>
                  <w:right w:w="108" w:type="dxa"/>
                </w:tblCellMar>
              </w:tblPrEx>
              <w:trPr>
                <w:trHeight w:val="340" w:hRule="atLeast"/>
                <w:jc w:val="center"/>
              </w:trPr>
              <w:tc>
                <w:tcPr>
                  <w:tcW w:w="743" w:type="dxa"/>
                  <w:vMerge w:val="restart"/>
                  <w:tcBorders>
                    <w:top w:val="single" w:color="000000" w:sz="4" w:space="0"/>
                    <w:left w:val="single" w:color="auto"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ZH15082320003</w:t>
                  </w:r>
                </w:p>
              </w:tc>
              <w:tc>
                <w:tcPr>
                  <w:tcW w:w="563"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乌拉特前旗城镇空间</w:t>
                  </w:r>
                </w:p>
              </w:tc>
              <w:tc>
                <w:tcPr>
                  <w:tcW w:w="503"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重点管控单元</w:t>
                  </w:r>
                </w:p>
              </w:tc>
              <w:tc>
                <w:tcPr>
                  <w:tcW w:w="417"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大气环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境受体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敏感重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点管控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区、生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态用水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补给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区、地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下水开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采重点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区、土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地资源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重点管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控区</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空间布局约束</w:t>
                  </w:r>
                </w:p>
              </w:tc>
              <w:tc>
                <w:tcPr>
                  <w:tcW w:w="2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1、严禁新建、扩建重污染企业，现有重污染企业根据区域环境质量目标倒逼其转型升级或搬迁转移。</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2、推进城市建成区重污染企业退城入园，对位于城市建成区范围内污染严重企业，由本地区人民政府制定计划，限期完成搬迁、改造，逾期不退城的依法予以停产。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3、严格控制缺水地区、水污染严重地区和敏感区域发展高耗水、高污染行业，严禁地下水超采区新建高耗水、高污染项目，已建项目要采用先进节水技术，提高用水水平。</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4、禁止侵占永久基本农田的生产经营活动；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5、严禁在禁养区内新建、改建、扩建规模化畜禽养殖项目，现有项目限期关闭或搬迁。</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规范病死畜禽无害化处理。集中无害化处理体系健全的地区，在做好动物疫病防控的前提下，原则上养殖场户的病死畜禽应委托专业无害化处理场进行集中处理。山区、牧区、边远地区等暂时不具备集中处理条件的地区自行处理的，要配备与养殖规模相适应的无害化处理设施设备，严格按照相关技术规范进行处理，逐步减少深埋、化尸窖、堆肥等处理方式，确保有效杀灭病原体，清洁安全，不污染环境。</w:t>
                  </w:r>
                </w:p>
              </w:tc>
              <w:tc>
                <w:tcPr>
                  <w:tcW w:w="155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line="240" w:lineRule="auto"/>
                    <w:ind w:right="0" w:rightChars="0" w:firstLine="210" w:firstLineChars="1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1、本项目将1台</w:t>
                  </w:r>
                  <w:r>
                    <w:rPr>
                      <w:rFonts w:hint="eastAsia" w:ascii="Times New Roman" w:hAnsi="Times New Roman" w:eastAsia="宋体" w:cs="Times New Roman"/>
                      <w:color w:val="auto"/>
                      <w:lang w:val="en-US" w:eastAsia="zh-CN"/>
                    </w:rPr>
                    <w:t>7MW</w:t>
                  </w:r>
                  <w:r>
                    <w:rPr>
                      <w:rFonts w:hint="default" w:ascii="Times New Roman" w:hAnsi="Times New Roman" w:eastAsia="宋体" w:cs="Times New Roman"/>
                      <w:color w:val="auto"/>
                      <w:lang w:val="en-US" w:eastAsia="zh-CN"/>
                    </w:rPr>
                    <w:t>燃煤热水锅炉改建为1台</w:t>
                  </w:r>
                  <w:r>
                    <w:rPr>
                      <w:rFonts w:hint="eastAsia" w:ascii="Times New Roman" w:hAnsi="Times New Roman" w:eastAsia="宋体" w:cs="Times New Roman"/>
                      <w:color w:val="auto"/>
                      <w:lang w:val="en-US" w:eastAsia="zh-CN"/>
                    </w:rPr>
                    <w:t>7MW</w:t>
                  </w:r>
                  <w:r>
                    <w:rPr>
                      <w:rFonts w:hint="default" w:ascii="Times New Roman" w:hAnsi="Times New Roman" w:eastAsia="宋体" w:cs="Times New Roman"/>
                      <w:color w:val="auto"/>
                      <w:lang w:val="en-US" w:eastAsia="zh-CN"/>
                    </w:rPr>
                    <w:t>生物质热水锅炉，属于减排项目，不属于重污染企业；</w:t>
                  </w:r>
                </w:p>
                <w:p>
                  <w:pPr>
                    <w:pStyle w:val="2"/>
                    <w:keepNext w:val="0"/>
                    <w:keepLines w:val="0"/>
                    <w:pageBreakBefore w:val="0"/>
                    <w:numPr>
                      <w:ilvl w:val="0"/>
                      <w:numId w:val="0"/>
                    </w:numPr>
                    <w:kinsoku/>
                    <w:wordWrap/>
                    <w:overflowPunct/>
                    <w:topLinePunct w:val="0"/>
                    <w:autoSpaceDE/>
                    <w:autoSpaceDN/>
                    <w:bidi w:val="0"/>
                    <w:adjustRightInd/>
                    <w:snapToGrid/>
                    <w:spacing w:after="0" w:afterLines="0" w:line="240" w:lineRule="auto"/>
                    <w:ind w:firstLine="210" w:firstLineChars="1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2、本项目属于热力生产和供应业，不属于重污染企业；</w:t>
                  </w:r>
                </w:p>
                <w:p>
                  <w:pPr>
                    <w:pStyle w:val="21"/>
                    <w:keepNext w:val="0"/>
                    <w:keepLines w:val="0"/>
                    <w:pageBreakBefore w:val="0"/>
                    <w:widowControl w:val="0"/>
                    <w:kinsoku/>
                    <w:wordWrap/>
                    <w:overflowPunct/>
                    <w:topLinePunct w:val="0"/>
                    <w:autoSpaceDE/>
                    <w:autoSpaceDN/>
                    <w:bidi w:val="0"/>
                    <w:adjustRightInd/>
                    <w:snapToGrid/>
                    <w:spacing w:after="0" w:line="240" w:lineRule="auto"/>
                    <w:ind w:left="0" w:leftChars="0" w:firstLine="210" w:firstLineChars="1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3、本项目不属于高耗水、高污染行业；</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4、本项目依托现有乌化社区锅炉房基础设施，不侵占基本农田；</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5、本项目属于热力生产和供应业，不涉及</w:t>
                  </w:r>
                  <w:r>
                    <w:rPr>
                      <w:rFonts w:hint="default" w:ascii="Times New Roman" w:hAnsi="Times New Roman" w:eastAsia="宋体" w:cs="Times New Roman"/>
                      <w:color w:val="auto"/>
                      <w:kern w:val="0"/>
                      <w:sz w:val="21"/>
                      <w:szCs w:val="21"/>
                      <w:lang w:val="en-US" w:eastAsia="zh-CN"/>
                    </w:rPr>
                    <w:t>规模化畜禽养殖项目</w:t>
                  </w:r>
                  <w:r>
                    <w:rPr>
                      <w:rFonts w:hint="default" w:ascii="Times New Roman" w:hAnsi="Times New Roman" w:eastAsia="宋体" w:cs="Times New Roman"/>
                      <w:color w:val="auto"/>
                      <w:lang w:val="en-US" w:eastAsia="zh-CN"/>
                    </w:rPr>
                    <w:t>；</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6、本项目属于热力生产和供应业，不涉及</w:t>
                  </w:r>
                  <w:r>
                    <w:rPr>
                      <w:rFonts w:hint="default" w:ascii="Times New Roman" w:hAnsi="Times New Roman" w:eastAsia="宋体" w:cs="Times New Roman"/>
                      <w:color w:val="auto"/>
                      <w:kern w:val="0"/>
                      <w:sz w:val="21"/>
                      <w:szCs w:val="21"/>
                      <w:lang w:val="en-US" w:eastAsia="zh-CN"/>
                    </w:rPr>
                    <w:t>规模化畜禽养殖项目</w:t>
                  </w:r>
                  <w:r>
                    <w:rPr>
                      <w:rFonts w:hint="default" w:ascii="Times New Roman" w:hAnsi="Times New Roman" w:eastAsia="宋体" w:cs="Times New Roman"/>
                      <w:color w:val="auto"/>
                      <w:lang w:val="en-US" w:eastAsia="zh-CN"/>
                    </w:rPr>
                    <w:t>；</w:t>
                  </w:r>
                </w:p>
              </w:tc>
              <w:tc>
                <w:tcPr>
                  <w:tcW w:w="79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tblPrEx>
                <w:tblCellMar>
                  <w:top w:w="0" w:type="dxa"/>
                  <w:left w:w="108" w:type="dxa"/>
                  <w:bottom w:w="0" w:type="dxa"/>
                  <w:right w:w="108" w:type="dxa"/>
                </w:tblCellMar>
              </w:tblPrEx>
              <w:trPr>
                <w:trHeight w:val="340" w:hRule="atLeast"/>
                <w:jc w:val="center"/>
              </w:trPr>
              <w:tc>
                <w:tcPr>
                  <w:tcW w:w="743" w:type="dxa"/>
                  <w:vMerge w:val="continue"/>
                  <w:tcBorders>
                    <w:left w:val="single" w:color="auto"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p>
              </w:tc>
              <w:tc>
                <w:tcPr>
                  <w:tcW w:w="563"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503"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417"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污染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物排</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放管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控</w:t>
                  </w:r>
                </w:p>
              </w:tc>
              <w:tc>
                <w:tcPr>
                  <w:tcW w:w="25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1、深入推进扬尘污染综合防治。加快城镇污水处理设施及配套管网建设与改造。加强机动车辆环保管理。提高城市生活垃圾处理减量化、资源化和无害化水平，实现城镇垃圾处理设施全覆盖。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2、进一步加大燃煤小锅炉淘汰力度，城市建成区淘汰每小时10蒸吨及以下燃煤锅炉及茶水炉、经营性炉灶、储粮烘干设备等燃煤设施，不再新建每小时 35 蒸吨以下的燃煤锅炉。其他地区原则不再新建每小时10蒸吨以下的燃煤锅炉。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3、所有新建城镇污水处理设施要执行《城镇污水处理厂污染物排放标准》（GB18918-2002）中一级 A 排放标准。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4、禁止向农用地排放重金属或者其他有毒有害物质含量超标的污水、脱硫渣，以及可能造成土壤污染的清淤底泥、尾矿、矿渣等。</w:t>
                  </w:r>
                </w:p>
              </w:tc>
              <w:tc>
                <w:tcPr>
                  <w:tcW w:w="1555" w:type="dxa"/>
                  <w:tcBorders>
                    <w:top w:val="single" w:color="000000" w:sz="4" w:space="0"/>
                    <w:left w:val="single" w:color="000000" w:sz="4" w:space="0"/>
                    <w:bottom w:val="single" w:color="000000" w:sz="4" w:space="0"/>
                    <w:right w:val="single" w:color="000000" w:sz="4" w:space="0"/>
                  </w:tcBorders>
                  <w:noWrap w:val="0"/>
                  <w:vAlign w:val="top"/>
                </w:tcPr>
                <w:p>
                  <w:pPr>
                    <w:widowControl/>
                    <w:autoSpaceDE w:val="0"/>
                    <w:snapToGrid w:val="0"/>
                    <w:spacing w:line="240" w:lineRule="auto"/>
                    <w:ind w:firstLine="210" w:firstLineChars="1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lang w:val="en-US" w:eastAsia="zh-CN"/>
                    </w:rPr>
                    <w:t>本项目将1台</w:t>
                  </w:r>
                  <w:r>
                    <w:rPr>
                      <w:rFonts w:hint="eastAsia" w:ascii="Times New Roman" w:hAnsi="Times New Roman" w:eastAsia="宋体" w:cs="Times New Roman"/>
                      <w:color w:val="auto"/>
                      <w:lang w:val="en-US" w:eastAsia="zh-CN"/>
                    </w:rPr>
                    <w:t>7MW</w:t>
                  </w:r>
                  <w:r>
                    <w:rPr>
                      <w:rFonts w:hint="default" w:ascii="Times New Roman" w:hAnsi="Times New Roman" w:eastAsia="宋体" w:cs="Times New Roman"/>
                      <w:color w:val="auto"/>
                      <w:lang w:val="en-US" w:eastAsia="zh-CN"/>
                    </w:rPr>
                    <w:t>燃煤热水锅炉改建为1台</w:t>
                  </w:r>
                  <w:r>
                    <w:rPr>
                      <w:rFonts w:hint="eastAsia" w:ascii="Times New Roman" w:hAnsi="Times New Roman" w:eastAsia="宋体" w:cs="Times New Roman"/>
                      <w:color w:val="auto"/>
                      <w:lang w:val="en-US" w:eastAsia="zh-CN"/>
                    </w:rPr>
                    <w:t>7MW</w:t>
                  </w:r>
                  <w:r>
                    <w:rPr>
                      <w:rFonts w:hint="default" w:ascii="Times New Roman" w:hAnsi="Times New Roman" w:eastAsia="宋体" w:cs="Times New Roman"/>
                      <w:color w:val="auto"/>
                      <w:lang w:val="en-US" w:eastAsia="zh-CN"/>
                    </w:rPr>
                    <w:t>生物质热水锅炉，颗粒物排放量减小</w:t>
                  </w:r>
                  <w:r>
                    <w:rPr>
                      <w:rFonts w:hint="default" w:ascii="Times New Roman" w:hAnsi="Times New Roman" w:eastAsia="宋体" w:cs="Times New Roman"/>
                      <w:color w:val="auto"/>
                      <w:kern w:val="0"/>
                      <w:sz w:val="21"/>
                      <w:szCs w:val="21"/>
                      <w:lang w:val="en-US" w:eastAsia="zh-CN"/>
                    </w:rPr>
                    <w:t>。</w:t>
                  </w:r>
                </w:p>
                <w:p>
                  <w:pPr>
                    <w:widowControl/>
                    <w:autoSpaceDE w:val="0"/>
                    <w:snapToGrid w:val="0"/>
                    <w:spacing w:line="240" w:lineRule="auto"/>
                    <w:ind w:firstLine="210" w:firstLineChars="1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lang w:val="en-US" w:eastAsia="zh-CN"/>
                    </w:rPr>
                    <w:t>本项目将1台</w:t>
                  </w:r>
                  <w:r>
                    <w:rPr>
                      <w:rFonts w:hint="eastAsia" w:ascii="Times New Roman" w:hAnsi="Times New Roman" w:eastAsia="宋体" w:cs="Times New Roman"/>
                      <w:color w:val="auto"/>
                      <w:lang w:val="en-US" w:eastAsia="zh-CN"/>
                    </w:rPr>
                    <w:t>7MW</w:t>
                  </w:r>
                  <w:r>
                    <w:rPr>
                      <w:rFonts w:hint="default" w:ascii="Times New Roman" w:hAnsi="Times New Roman" w:eastAsia="宋体" w:cs="Times New Roman"/>
                      <w:color w:val="auto"/>
                      <w:lang w:val="en-US" w:eastAsia="zh-CN"/>
                    </w:rPr>
                    <w:t>燃煤热水锅炉改建为1台</w:t>
                  </w:r>
                  <w:r>
                    <w:rPr>
                      <w:rFonts w:hint="eastAsia" w:ascii="Times New Roman" w:hAnsi="Times New Roman" w:eastAsia="宋体" w:cs="Times New Roman"/>
                      <w:color w:val="auto"/>
                      <w:lang w:val="en-US" w:eastAsia="zh-CN"/>
                    </w:rPr>
                    <w:t>7MW</w:t>
                  </w:r>
                  <w:r>
                    <w:rPr>
                      <w:rFonts w:hint="default" w:ascii="Times New Roman" w:hAnsi="Times New Roman" w:eastAsia="宋体" w:cs="Times New Roman"/>
                      <w:color w:val="auto"/>
                      <w:lang w:val="en-US" w:eastAsia="zh-CN"/>
                    </w:rPr>
                    <w:t>生物质热水锅炉</w:t>
                  </w:r>
                  <w:r>
                    <w:rPr>
                      <w:rFonts w:hint="default" w:ascii="Times New Roman" w:hAnsi="Times New Roman" w:eastAsia="宋体" w:cs="Times New Roman"/>
                      <w:color w:val="auto"/>
                      <w:kern w:val="0"/>
                      <w:sz w:val="21"/>
                      <w:szCs w:val="21"/>
                      <w:lang w:val="en-US" w:eastAsia="zh-CN"/>
                    </w:rPr>
                    <w:t>。</w:t>
                  </w:r>
                </w:p>
                <w:p>
                  <w:pPr>
                    <w:widowControl/>
                    <w:autoSpaceDE w:val="0"/>
                    <w:snapToGrid w:val="0"/>
                    <w:spacing w:line="240" w:lineRule="auto"/>
                    <w:ind w:firstLine="210" w:firstLineChars="1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3、本项目不涉及城镇污水处理设施厂建设。</w:t>
                  </w:r>
                </w:p>
                <w:p>
                  <w:pPr>
                    <w:widowControl/>
                    <w:autoSpaceDE w:val="0"/>
                    <w:snapToGrid w:val="0"/>
                    <w:spacing w:line="240" w:lineRule="auto"/>
                    <w:ind w:firstLine="210" w:firstLineChars="1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rPr>
                    <w:t>4、本项目生产废水和生活污水均不向农用地进行排放。</w:t>
                  </w:r>
                </w:p>
              </w:tc>
              <w:tc>
                <w:tcPr>
                  <w:tcW w:w="79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lang w:val="en-US" w:eastAsia="zh-CN"/>
                    </w:rPr>
                  </w:pPr>
                </w:p>
              </w:tc>
            </w:tr>
            <w:tr>
              <w:tblPrEx>
                <w:tblCellMar>
                  <w:top w:w="0" w:type="dxa"/>
                  <w:left w:w="108" w:type="dxa"/>
                  <w:bottom w:w="0" w:type="dxa"/>
                  <w:right w:w="108" w:type="dxa"/>
                </w:tblCellMar>
              </w:tblPrEx>
              <w:trPr>
                <w:trHeight w:val="340" w:hRule="atLeast"/>
                <w:jc w:val="center"/>
              </w:trPr>
              <w:tc>
                <w:tcPr>
                  <w:tcW w:w="743" w:type="dxa"/>
                  <w:vMerge w:val="continue"/>
                  <w:tcBorders>
                    <w:left w:val="single" w:color="auto"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p>
              </w:tc>
              <w:tc>
                <w:tcPr>
                  <w:tcW w:w="563"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503"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417"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风险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防控</w:t>
                  </w:r>
                </w:p>
              </w:tc>
              <w:tc>
                <w:tcPr>
                  <w:tcW w:w="2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执行全市总体准入要求中关于环境风险防控的准入要求。</w:t>
                  </w:r>
                </w:p>
              </w:tc>
              <w:tc>
                <w:tcPr>
                  <w:tcW w:w="155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本项目在采取环评要求的防范措施和应急处置措施后，环境风险事故影响范围主要集中于厂区，环境风险在可接受范围之内。</w:t>
                  </w:r>
                </w:p>
              </w:tc>
              <w:tc>
                <w:tcPr>
                  <w:tcW w:w="79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lang w:val="en-US" w:eastAsia="zh-CN"/>
                    </w:rPr>
                  </w:pPr>
                </w:p>
              </w:tc>
            </w:tr>
            <w:tr>
              <w:tblPrEx>
                <w:tblCellMar>
                  <w:top w:w="0" w:type="dxa"/>
                  <w:left w:w="108" w:type="dxa"/>
                  <w:bottom w:w="0" w:type="dxa"/>
                  <w:right w:w="108" w:type="dxa"/>
                </w:tblCellMar>
              </w:tblPrEx>
              <w:trPr>
                <w:trHeight w:val="340" w:hRule="atLeast"/>
                <w:jc w:val="center"/>
              </w:trPr>
              <w:tc>
                <w:tcPr>
                  <w:tcW w:w="743" w:type="dxa"/>
                  <w:vMerge w:val="continue"/>
                  <w:tcBorders>
                    <w:left w:val="single" w:color="auto"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p>
              </w:tc>
              <w:tc>
                <w:tcPr>
                  <w:tcW w:w="56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50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417"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资源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利用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效率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要求</w:t>
                  </w:r>
                </w:p>
              </w:tc>
              <w:tc>
                <w:tcPr>
                  <w:tcW w:w="25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1、禁止农作物秸秆等生物质及其他废弃物违规露天焚烧。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2、严控地下水超采。禁止私自开采地下水。新建、改建、扩建的高耗水工业项目，禁止擅自使用地下水。食品、制药等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210" w:firstLineChars="1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3、项目取用地下水，须经有管理权限的水行政主管部门批准。</w:t>
                  </w:r>
                </w:p>
              </w:tc>
              <w:tc>
                <w:tcPr>
                  <w:tcW w:w="155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1、本项目生物质热水锅炉采用的是生物质燃料，不露天焚烧农作物秸秆等生物质及其他废弃物；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2、本项目用水采用社区自来水管网；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3、本项目用水采用社区自来水管网；</w:t>
                  </w:r>
                </w:p>
              </w:tc>
              <w:tc>
                <w:tcPr>
                  <w:tcW w:w="79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根据巴彦淖尔市生态环境局发布的《巴彦淖尔市生态环境准入清单》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巴环函[2021]61号），本项目位于</w:t>
            </w:r>
            <w:r>
              <w:rPr>
                <w:rFonts w:hint="default" w:ascii="Times New Roman" w:hAnsi="Times New Roman" w:eastAsia="宋体" w:cs="Times New Roman"/>
                <w:color w:val="auto"/>
                <w:sz w:val="24"/>
                <w:szCs w:val="24"/>
                <w:highlight w:val="none"/>
                <w:lang w:val="en-US" w:eastAsia="zh-CN"/>
              </w:rPr>
              <w:t>乌拉特前旗乌拉山镇乌化社区，属于乌拉特前旗城镇空间</w:t>
            </w:r>
            <w:r>
              <w:rPr>
                <w:rFonts w:hint="default" w:ascii="Times New Roman" w:hAnsi="Times New Roman" w:eastAsia="宋体" w:cs="Times New Roman"/>
                <w:color w:val="auto"/>
                <w:sz w:val="24"/>
                <w:szCs w:val="24"/>
                <w:highlight w:val="none"/>
                <w:lang w:eastAsia="zh-CN"/>
              </w:rPr>
              <w:t>环境管控单元</w:t>
            </w:r>
            <w:r>
              <w:rPr>
                <w:rFonts w:hint="default" w:ascii="Times New Roman" w:hAnsi="Times New Roman" w:eastAsia="宋体" w:cs="Times New Roman"/>
                <w:color w:val="auto"/>
                <w:sz w:val="24"/>
                <w:szCs w:val="24"/>
                <w:highlight w:val="none"/>
              </w:rPr>
              <w:t>，环境管控单元编码</w:t>
            </w:r>
            <w:r>
              <w:rPr>
                <w:rFonts w:hint="default" w:ascii="Times New Roman" w:hAnsi="Times New Roman" w:eastAsia="宋体" w:cs="Times New Roman"/>
                <w:color w:val="auto"/>
                <w:sz w:val="24"/>
                <w:szCs w:val="24"/>
                <w:highlight w:val="none"/>
                <w:lang w:eastAsia="zh-CN"/>
              </w:rPr>
              <w:t>ZH15082320003</w:t>
            </w:r>
            <w:r>
              <w:rPr>
                <w:rFonts w:hint="default" w:ascii="Times New Roman" w:hAnsi="Times New Roman" w:eastAsia="宋体" w:cs="Times New Roman"/>
                <w:color w:val="auto"/>
                <w:sz w:val="24"/>
                <w:szCs w:val="24"/>
                <w:highlight w:val="none"/>
              </w:rPr>
              <w:t>，从空间布局约束、污染物排放管控、环境风险防控、资源利用效率要求等方面分析，本项目</w:t>
            </w:r>
            <w:r>
              <w:rPr>
                <w:rFonts w:hint="default" w:ascii="Times New Roman" w:hAnsi="Times New Roman" w:eastAsia="宋体" w:cs="Times New Roman"/>
                <w:color w:val="auto"/>
                <w:sz w:val="24"/>
                <w:szCs w:val="24"/>
                <w:highlight w:val="none"/>
                <w:lang w:eastAsia="zh-CN"/>
              </w:rPr>
              <w:t>配套设置</w:t>
            </w:r>
            <w:r>
              <w:rPr>
                <w:rFonts w:hint="default" w:ascii="Times New Roman" w:hAnsi="Times New Roman" w:eastAsia="宋体" w:cs="Times New Roman"/>
                <w:color w:val="auto"/>
                <w:sz w:val="24"/>
                <w:szCs w:val="24"/>
                <w:highlight w:val="none"/>
              </w:rPr>
              <w:t>环保措施，环境影响及环境风险可控；在生产工艺技术、设备水平、清洁化生产均达到国内先进水平。</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rPr>
              <w:t>因此，本项目符合三线一单管控要求</w:t>
            </w:r>
            <w:r>
              <w:rPr>
                <w:rFonts w:hint="default" w:ascii="Times New Roman" w:hAnsi="Times New Roman" w:eastAsia="宋体" w:cs="Times New Roman"/>
                <w:color w:val="auto"/>
                <w:sz w:val="24"/>
                <w:highlight w:val="none"/>
                <w:lang w:eastAsia="zh-CN"/>
              </w:rPr>
              <w:t>。</w:t>
            </w:r>
          </w:p>
          <w:p>
            <w:pPr>
              <w:spacing w:line="360" w:lineRule="auto"/>
              <w:ind w:firstLine="480" w:firstLineChars="200"/>
              <w:jc w:val="left"/>
              <w:rPr>
                <w:rFonts w:hint="default" w:ascii="Times New Roman" w:hAnsi="Times New Roman" w:eastAsia="宋体" w:cs="Times New Roman"/>
                <w:color w:val="auto"/>
                <w:sz w:val="24"/>
                <w:highlight w:val="none"/>
              </w:rPr>
            </w:pPr>
          </w:p>
        </w:tc>
      </w:tr>
    </w:tbl>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sectPr>
          <w:footerReference r:id="rId3" w:type="default"/>
          <w:pgSz w:w="11906" w:h="16838"/>
          <w:pgMar w:top="1440" w:right="1463" w:bottom="1440" w:left="1463" w:header="851" w:footer="992" w:gutter="0"/>
          <w:pgNumType w:start="1"/>
          <w:cols w:space="425" w:num="1"/>
          <w:docGrid w:type="lines" w:linePitch="312" w:charSpace="0"/>
        </w:sectPr>
      </w:pPr>
    </w:p>
    <w:p>
      <w:pPr>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二、建设项目工程分析</w:t>
      </w:r>
    </w:p>
    <w:tbl>
      <w:tblPr>
        <w:tblStyle w:val="23"/>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24"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建设内容</w:t>
            </w:r>
          </w:p>
        </w:tc>
        <w:tc>
          <w:tcPr>
            <w:tcW w:w="849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乌拉特前旗乌拉山镇乌化社区于2012年已建成1台</w:t>
            </w:r>
            <w:r>
              <w:rPr>
                <w:rFonts w:hint="eastAsia" w:ascii="Times New Roman" w:hAnsi="Times New Roman" w:eastAsia="宋体" w:cs="Times New Roman"/>
                <w:color w:val="auto"/>
                <w:kern w:val="2"/>
                <w:sz w:val="24"/>
                <w:szCs w:val="24"/>
                <w:highlight w:val="none"/>
                <w:lang w:val="en-US" w:eastAsia="zh-CN" w:bidi="ar-SA"/>
              </w:rPr>
              <w:t>7MW</w:t>
            </w:r>
            <w:r>
              <w:rPr>
                <w:rFonts w:hint="default" w:ascii="Times New Roman" w:hAnsi="Times New Roman" w:eastAsia="宋体" w:cs="Times New Roman"/>
                <w:color w:val="auto"/>
                <w:kern w:val="2"/>
                <w:sz w:val="24"/>
                <w:szCs w:val="24"/>
                <w:highlight w:val="none"/>
                <w:lang w:val="en-US" w:eastAsia="zh-CN" w:bidi="ar-SA"/>
              </w:rPr>
              <w:t>燃煤热水锅炉，</w:t>
            </w:r>
            <w:r>
              <w:rPr>
                <w:rFonts w:hint="default" w:ascii="Times New Roman" w:hAnsi="Times New Roman" w:eastAsia="宋体" w:cs="Times New Roman"/>
                <w:color w:val="auto"/>
                <w:sz w:val="24"/>
                <w:highlight w:val="none"/>
                <w:lang w:val="en-US" w:eastAsia="zh-CN"/>
              </w:rPr>
              <w:t>用于乌化社区居民采暖季热力供应，用于乌化社区居民采暖季热力供应，供暖范围为乌化社区内1056套居民住房，供暖面积为74221m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。原有项目主要建成1座150m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锅炉用房，1座180m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软水制备设施用房，1座200m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灰渣间，1座600m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燃料库；设置1台</w:t>
            </w:r>
            <w:r>
              <w:rPr>
                <w:rFonts w:hint="eastAsia" w:ascii="Times New Roman" w:hAnsi="Times New Roman" w:eastAsia="宋体" w:cs="Times New Roman"/>
                <w:color w:val="auto"/>
                <w:sz w:val="24"/>
                <w:highlight w:val="none"/>
                <w:lang w:val="en-US" w:eastAsia="zh-CN"/>
              </w:rPr>
              <w:t>7MW</w:t>
            </w:r>
            <w:r>
              <w:rPr>
                <w:rFonts w:hint="default" w:ascii="Times New Roman" w:hAnsi="Times New Roman" w:eastAsia="宋体" w:cs="Times New Roman"/>
                <w:color w:val="auto"/>
                <w:sz w:val="24"/>
                <w:highlight w:val="none"/>
                <w:lang w:val="en-US" w:eastAsia="zh-CN"/>
              </w:rPr>
              <w:t>燃煤热水锅炉，以及配套1台多管旋风除尘器+1台布袋除尘器+1台钠碱法脱硫塔+1根40m高排气筒。</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巴彦淖尔市生态环境局发布的《巴彦淖尔市生态环境准入清单》（巴环函[2021]61号）中“进一步加大燃煤小锅炉淘汰力度，城市建成区淘汰每小时10蒸吨及以下燃煤锅炉及茶水炉、经营性炉灶、储粮烘干设备等燃煤设施，不再新建每小时35蒸吨以下的燃煤锅炉。其他地区原则不再新建每小时10蒸吨以下的燃煤锅炉”。乌拉特前旗乌拉山镇乌化社区范围内应淘汰</w:t>
            </w:r>
            <w:r>
              <w:rPr>
                <w:rFonts w:hint="eastAsia" w:eastAsia="宋体" w:cs="Times New Roman"/>
                <w:color w:val="auto"/>
                <w:kern w:val="2"/>
                <w:sz w:val="24"/>
                <w:szCs w:val="24"/>
                <w:highlight w:val="none"/>
                <w:lang w:val="en-US" w:eastAsia="zh-CN" w:bidi="ar-SA"/>
              </w:rPr>
              <w:t>7MW</w:t>
            </w:r>
            <w:r>
              <w:rPr>
                <w:rFonts w:hint="default" w:ascii="Times New Roman" w:hAnsi="Times New Roman" w:eastAsia="宋体" w:cs="Times New Roman"/>
                <w:color w:val="auto"/>
                <w:kern w:val="2"/>
                <w:sz w:val="24"/>
                <w:szCs w:val="24"/>
                <w:highlight w:val="none"/>
                <w:lang w:val="en-US" w:eastAsia="zh-CN" w:bidi="ar-SA"/>
              </w:rPr>
              <w:t>燃煤热水锅炉，因此，本项目将原有1台</w:t>
            </w:r>
            <w:r>
              <w:rPr>
                <w:rFonts w:hint="eastAsia" w:eastAsia="宋体" w:cs="Times New Roman"/>
                <w:color w:val="auto"/>
                <w:kern w:val="2"/>
                <w:sz w:val="24"/>
                <w:szCs w:val="24"/>
                <w:highlight w:val="none"/>
                <w:lang w:val="en-US" w:eastAsia="zh-CN" w:bidi="ar-SA"/>
              </w:rPr>
              <w:t>7MW</w:t>
            </w:r>
            <w:r>
              <w:rPr>
                <w:rFonts w:hint="default" w:ascii="Times New Roman" w:hAnsi="Times New Roman" w:eastAsia="宋体" w:cs="Times New Roman"/>
                <w:color w:val="auto"/>
                <w:kern w:val="2"/>
                <w:sz w:val="24"/>
                <w:szCs w:val="24"/>
                <w:highlight w:val="none"/>
                <w:lang w:val="en-US" w:eastAsia="zh-CN" w:bidi="ar-SA"/>
              </w:rPr>
              <w:t>燃煤热水锅炉改建为1台</w:t>
            </w:r>
            <w:r>
              <w:rPr>
                <w:rFonts w:hint="eastAsia" w:eastAsia="宋体" w:cs="Times New Roman"/>
                <w:color w:val="auto"/>
                <w:kern w:val="2"/>
                <w:sz w:val="24"/>
                <w:szCs w:val="24"/>
                <w:highlight w:val="none"/>
                <w:lang w:val="en-US" w:eastAsia="zh-CN" w:bidi="ar-SA"/>
              </w:rPr>
              <w:t>7MW</w:t>
            </w:r>
            <w:r>
              <w:rPr>
                <w:rFonts w:hint="default" w:ascii="Times New Roman" w:hAnsi="Times New Roman" w:eastAsia="宋体" w:cs="Times New Roman"/>
                <w:color w:val="auto"/>
                <w:kern w:val="2"/>
                <w:sz w:val="24"/>
                <w:szCs w:val="24"/>
                <w:highlight w:val="none"/>
                <w:lang w:val="en-US" w:eastAsia="zh-CN" w:bidi="ar-SA"/>
              </w:rPr>
              <w:t>生物质热水锅炉，废气治理措施利用原有。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原</w:t>
            </w:r>
            <w:r>
              <w:rPr>
                <w:rFonts w:hint="default" w:ascii="Times New Roman" w:hAnsi="Times New Roman" w:eastAsia="宋体" w:cs="Times New Roman"/>
                <w:b/>
                <w:bCs/>
                <w:color w:val="auto"/>
                <w:sz w:val="24"/>
                <w:szCs w:val="24"/>
                <w:highlight w:val="none"/>
                <w:lang w:val="en-US" w:eastAsia="zh-CN"/>
              </w:rPr>
              <w:t>有项目概况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原有项目厂区占地总面积为</w:t>
            </w:r>
            <w:r>
              <w:rPr>
                <w:rFonts w:hint="default" w:ascii="Times New Roman" w:hAnsi="Times New Roman" w:eastAsia="宋体" w:cs="Times New Roman"/>
                <w:color w:val="auto"/>
                <w:sz w:val="24"/>
                <w:szCs w:val="24"/>
                <w:highlight w:val="none"/>
                <w:lang w:val="en-US" w:eastAsia="zh-CN"/>
              </w:rPr>
              <w:t>4548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主要建成1座150m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锅炉用房，1座180m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软水制备设施用房，1座200m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灰渣间，1座600m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燃料库；设置1台</w:t>
            </w:r>
            <w:r>
              <w:rPr>
                <w:rFonts w:hint="eastAsia" w:ascii="Times New Roman" w:hAnsi="Times New Roman" w:eastAsia="宋体" w:cs="Times New Roman"/>
                <w:color w:val="auto"/>
                <w:sz w:val="24"/>
                <w:highlight w:val="none"/>
                <w:lang w:val="en-US" w:eastAsia="zh-CN"/>
              </w:rPr>
              <w:t>7MW</w:t>
            </w:r>
            <w:r>
              <w:rPr>
                <w:rFonts w:hint="default" w:ascii="Times New Roman" w:hAnsi="Times New Roman" w:eastAsia="宋体" w:cs="Times New Roman"/>
                <w:color w:val="auto"/>
                <w:sz w:val="24"/>
                <w:highlight w:val="none"/>
                <w:lang w:val="en-US" w:eastAsia="zh-CN"/>
              </w:rPr>
              <w:t>燃煤热水锅炉，以及配套1台多管旋风除尘器+1台布袋除尘器+1台钠碱法脱硫塔+1根40m高排气筒。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2.1</w:t>
            </w:r>
            <w:r>
              <w:rPr>
                <w:rFonts w:hint="default" w:ascii="Times New Roman" w:hAnsi="Times New Roman" w:eastAsia="宋体" w:cs="Times New Roman"/>
                <w:b/>
                <w:bCs/>
                <w:color w:val="auto"/>
                <w:sz w:val="24"/>
                <w:szCs w:val="24"/>
                <w:highlight w:val="none"/>
                <w:lang w:eastAsia="zh-CN"/>
              </w:rPr>
              <w:t>原</w:t>
            </w:r>
            <w:r>
              <w:rPr>
                <w:rFonts w:hint="default" w:ascii="Times New Roman" w:hAnsi="Times New Roman" w:eastAsia="宋体" w:cs="Times New Roman"/>
                <w:b/>
                <w:bCs/>
                <w:color w:val="auto"/>
                <w:sz w:val="24"/>
                <w:szCs w:val="24"/>
                <w:highlight w:val="none"/>
                <w:lang w:val="en-US" w:eastAsia="zh-CN"/>
              </w:rPr>
              <w:t>有</w:t>
            </w:r>
            <w:r>
              <w:rPr>
                <w:rFonts w:hint="default" w:ascii="Times New Roman" w:hAnsi="Times New Roman" w:eastAsia="宋体" w:cs="Times New Roman"/>
                <w:b/>
                <w:bCs/>
                <w:color w:val="auto"/>
                <w:sz w:val="24"/>
                <w:szCs w:val="24"/>
                <w:highlight w:val="none"/>
              </w:rPr>
              <w:t>项目组成情况见表2-1</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 xml:space="preserve">表2-1  </w:t>
            </w:r>
            <w:r>
              <w:rPr>
                <w:rFonts w:hint="default" w:ascii="Times New Roman" w:hAnsi="Times New Roman" w:eastAsia="宋体" w:cs="Times New Roman"/>
                <w:b/>
                <w:bCs/>
                <w:color w:val="auto"/>
                <w:sz w:val="24"/>
                <w:szCs w:val="24"/>
                <w:highlight w:val="none"/>
                <w:lang w:eastAsia="zh-CN"/>
              </w:rPr>
              <w:t>原</w:t>
            </w:r>
            <w:r>
              <w:rPr>
                <w:rFonts w:hint="default" w:ascii="Times New Roman" w:hAnsi="Times New Roman" w:eastAsia="宋体" w:cs="Times New Roman"/>
                <w:b/>
                <w:bCs/>
                <w:color w:val="auto"/>
                <w:sz w:val="24"/>
                <w:szCs w:val="24"/>
                <w:highlight w:val="none"/>
                <w:lang w:val="en-US" w:eastAsia="zh-CN"/>
              </w:rPr>
              <w:t>有</w:t>
            </w:r>
            <w:r>
              <w:rPr>
                <w:rFonts w:hint="default" w:ascii="Times New Roman" w:hAnsi="Times New Roman" w:eastAsia="宋体" w:cs="Times New Roman"/>
                <w:b/>
                <w:bCs/>
                <w:color w:val="auto"/>
                <w:sz w:val="24"/>
                <w:highlight w:val="none"/>
              </w:rPr>
              <w:t>项目组成表</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0"/>
              <w:gridCol w:w="990"/>
              <w:gridCol w:w="6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w:t>
                  </w:r>
                </w:p>
              </w:tc>
              <w:tc>
                <w:tcPr>
                  <w:tcW w:w="990" w:type="dxa"/>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6297" w:type="dxa"/>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99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锅炉房</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锅炉房建筑面积</w:t>
                  </w:r>
                  <w:r>
                    <w:rPr>
                      <w:rFonts w:hint="default" w:ascii="Times New Roman" w:hAnsi="Times New Roman" w:eastAsia="宋体" w:cs="Times New Roman"/>
                      <w:color w:val="auto"/>
                      <w:kern w:val="0"/>
                      <w:sz w:val="21"/>
                      <w:szCs w:val="21"/>
                      <w:highlight w:val="none"/>
                      <w:lang w:val="en-US" w:eastAsia="zh-CN"/>
                    </w:rPr>
                    <w:t>150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全封闭</w:t>
                  </w:r>
                  <w:r>
                    <w:rPr>
                      <w:rFonts w:hint="default" w:ascii="Times New Roman" w:hAnsi="Times New Roman" w:eastAsia="宋体" w:cs="Times New Roman"/>
                      <w:color w:val="auto"/>
                      <w:sz w:val="21"/>
                      <w:szCs w:val="21"/>
                      <w:highlight w:val="none"/>
                    </w:rPr>
                    <w:t>砖混结构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内设</w:t>
                  </w:r>
                  <w:r>
                    <w:rPr>
                      <w:rFonts w:hint="default"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1台</w:t>
                  </w:r>
                  <w:r>
                    <w:rPr>
                      <w:rFonts w:hint="eastAsia" w:ascii="Times New Roman" w:hAnsi="Times New Roman" w:eastAsia="宋体" w:cs="Times New Roman"/>
                      <w:color w:val="auto"/>
                      <w:sz w:val="21"/>
                      <w:szCs w:val="21"/>
                      <w:highlight w:val="none"/>
                      <w:lang w:val="en-US" w:eastAsia="zh-CN"/>
                    </w:rPr>
                    <w:t>7MW</w:t>
                  </w:r>
                  <w:r>
                    <w:rPr>
                      <w:rFonts w:hint="default" w:ascii="Times New Roman" w:hAnsi="Times New Roman" w:eastAsia="宋体" w:cs="Times New Roman"/>
                      <w:color w:val="auto"/>
                      <w:sz w:val="21"/>
                      <w:szCs w:val="21"/>
                      <w:highlight w:val="none"/>
                      <w:lang w:val="en-US" w:eastAsia="zh-CN"/>
                    </w:rPr>
                    <w:t>燃煤热水锅炉，以及配套1台多管旋风除尘器+1台布袋除尘器+1台钠碱法脱硫塔+</w:t>
                  </w: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40m</w:t>
                  </w:r>
                  <w:r>
                    <w:rPr>
                      <w:rFonts w:hint="default" w:ascii="Times New Roman" w:hAnsi="Times New Roman" w:eastAsia="宋体" w:cs="Times New Roman"/>
                      <w:color w:val="auto"/>
                      <w:sz w:val="21"/>
                      <w:szCs w:val="21"/>
                      <w:highlight w:val="none"/>
                      <w:lang w:eastAsia="zh-CN"/>
                    </w:rPr>
                    <w:t>高</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软水制备设施用房</w:t>
                  </w:r>
                </w:p>
              </w:tc>
              <w:tc>
                <w:tcPr>
                  <w:tcW w:w="6297" w:type="dxa"/>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软水制备设施用房建筑面积180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，全封闭砖混结构。内部布置1套软水制备系统；</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燃料库</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建筑面积600m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全封闭</w:t>
                  </w:r>
                  <w:r>
                    <w:rPr>
                      <w:rFonts w:hint="default" w:ascii="Times New Roman" w:hAnsi="Times New Roman" w:eastAsia="宋体" w:cs="Times New Roman"/>
                      <w:color w:val="auto"/>
                      <w:sz w:val="21"/>
                      <w:szCs w:val="21"/>
                      <w:highlight w:val="none"/>
                      <w:lang w:val="en-US" w:eastAsia="zh-CN"/>
                    </w:rPr>
                    <w:t>钢</w:t>
                  </w:r>
                  <w:r>
                    <w:rPr>
                      <w:rFonts w:hint="default" w:ascii="Times New Roman" w:hAnsi="Times New Roman" w:eastAsia="宋体" w:cs="Times New Roman"/>
                      <w:color w:val="auto"/>
                      <w:sz w:val="21"/>
                      <w:szCs w:val="21"/>
                      <w:highlight w:val="none"/>
                    </w:rPr>
                    <w:t>结构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用于储存</w:t>
                  </w:r>
                  <w:r>
                    <w:rPr>
                      <w:rFonts w:hint="default" w:ascii="Times New Roman" w:hAnsi="Times New Roman" w:eastAsia="宋体" w:cs="Times New Roman"/>
                      <w:color w:val="auto"/>
                      <w:sz w:val="21"/>
                      <w:szCs w:val="21"/>
                      <w:highlight w:val="none"/>
                      <w:lang w:val="en-US" w:eastAsia="zh-CN"/>
                    </w:rPr>
                    <w:t>燃煤</w:t>
                  </w:r>
                  <w:r>
                    <w:rPr>
                      <w:rFonts w:hint="default" w:ascii="Times New Roman" w:hAnsi="Times New Roman" w:eastAsia="宋体" w:cs="Times New Roman"/>
                      <w:color w:val="auto"/>
                      <w:sz w:val="21"/>
                      <w:szCs w:val="21"/>
                      <w:highlight w:val="none"/>
                    </w:rPr>
                    <w:t>。最大储存量为</w:t>
                  </w:r>
                  <w:r>
                    <w:rPr>
                      <w:rFonts w:hint="default" w:ascii="Times New Roman" w:hAnsi="Times New Roman" w:eastAsia="宋体" w:cs="Times New Roman"/>
                      <w:color w:val="auto"/>
                      <w:sz w:val="21"/>
                      <w:szCs w:val="21"/>
                      <w:highlight w:val="none"/>
                      <w:lang w:val="en-US" w:eastAsia="zh-CN"/>
                    </w:rPr>
                    <w:t>722</w:t>
                  </w:r>
                  <w:r>
                    <w:rPr>
                      <w:rFonts w:hint="default" w:ascii="Times New Roman" w:hAnsi="Times New Roman" w:eastAsia="宋体" w:cs="Times New Roman"/>
                      <w:color w:val="auto"/>
                      <w:sz w:val="21"/>
                      <w:szCs w:val="21"/>
                      <w:highlight w:val="none"/>
                    </w:rPr>
                    <w:t>t，可满足1台</w:t>
                  </w:r>
                  <w:r>
                    <w:rPr>
                      <w:rFonts w:hint="eastAsia" w:ascii="Times New Roman" w:hAnsi="Times New Roman" w:eastAsia="宋体" w:cs="Times New Roman"/>
                      <w:color w:val="auto"/>
                      <w:sz w:val="21"/>
                      <w:szCs w:val="21"/>
                      <w:highlight w:val="none"/>
                      <w:lang w:val="en-US" w:eastAsia="zh-CN"/>
                    </w:rPr>
                    <w:t>7MW</w:t>
                  </w:r>
                  <w:r>
                    <w:rPr>
                      <w:rFonts w:hint="default" w:ascii="Times New Roman" w:hAnsi="Times New Roman" w:eastAsia="宋体" w:cs="Times New Roman"/>
                      <w:color w:val="auto"/>
                      <w:sz w:val="21"/>
                      <w:szCs w:val="21"/>
                      <w:highlight w:val="none"/>
                      <w:lang w:val="en-US" w:eastAsia="zh-CN"/>
                    </w:rPr>
                    <w:t>燃煤热水锅炉180</w:t>
                  </w:r>
                  <w:r>
                    <w:rPr>
                      <w:rFonts w:hint="default" w:ascii="Times New Roman" w:hAnsi="Times New Roman" w:eastAsia="宋体" w:cs="Times New Roman"/>
                      <w:color w:val="auto"/>
                      <w:sz w:val="21"/>
                      <w:szCs w:val="21"/>
                      <w:highlight w:val="none"/>
                    </w:rPr>
                    <w:t>天的</w:t>
                  </w:r>
                  <w:r>
                    <w:rPr>
                      <w:rFonts w:hint="default" w:ascii="Times New Roman" w:hAnsi="Times New Roman" w:eastAsia="宋体" w:cs="Times New Roman"/>
                      <w:color w:val="auto"/>
                      <w:sz w:val="21"/>
                      <w:szCs w:val="21"/>
                      <w:highlight w:val="none"/>
                      <w:lang w:val="en-US" w:eastAsia="zh-CN"/>
                    </w:rPr>
                    <w:t>燃煤</w:t>
                  </w:r>
                  <w:r>
                    <w:rPr>
                      <w:rFonts w:hint="default" w:ascii="Times New Roman" w:hAnsi="Times New Roman" w:eastAsia="宋体" w:cs="Times New Roman"/>
                      <w:color w:val="auto"/>
                      <w:sz w:val="21"/>
                      <w:szCs w:val="21"/>
                      <w:highlight w:val="none"/>
                    </w:rPr>
                    <w:t>消耗量。</w:t>
                  </w:r>
                </w:p>
                <w:p>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灰渣间</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建筑面积200m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，全封闭钢结构。</w:t>
                  </w:r>
                  <w:r>
                    <w:rPr>
                      <w:rFonts w:hint="default" w:ascii="Times New Roman" w:hAnsi="Times New Roman" w:eastAsia="宋体" w:cs="Times New Roman"/>
                      <w:color w:val="auto"/>
                      <w:sz w:val="21"/>
                      <w:szCs w:val="21"/>
                      <w:highlight w:val="none"/>
                    </w:rPr>
                    <w:t>用于储存</w:t>
                  </w: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热水锅炉产生的炉渣、</w:t>
                  </w:r>
                  <w:r>
                    <w:rPr>
                      <w:rFonts w:hint="default" w:ascii="Times New Roman" w:hAnsi="Times New Roman" w:eastAsia="宋体" w:cs="Times New Roman"/>
                      <w:color w:val="auto"/>
                      <w:sz w:val="21"/>
                      <w:szCs w:val="21"/>
                      <w:highlight w:val="none"/>
                      <w:lang w:val="en-US" w:eastAsia="zh-CN"/>
                    </w:rPr>
                    <w:t>多管旋风除尘器+布袋除尘器收集的除尘灰；脱硫塔</w:t>
                  </w:r>
                  <w:r>
                    <w:rPr>
                      <w:rFonts w:hint="default" w:ascii="Times New Roman" w:hAnsi="Times New Roman" w:eastAsia="宋体" w:cs="Times New Roman"/>
                      <w:color w:val="auto"/>
                      <w:sz w:val="21"/>
                      <w:szCs w:val="21"/>
                      <w:highlight w:val="none"/>
                    </w:rPr>
                    <w:t>收集的</w:t>
                  </w:r>
                  <w:r>
                    <w:rPr>
                      <w:rFonts w:hint="default" w:ascii="Times New Roman" w:hAnsi="Times New Roman" w:eastAsia="宋体" w:cs="Times New Roman"/>
                      <w:color w:val="auto"/>
                      <w:sz w:val="21"/>
                      <w:szCs w:val="21"/>
                      <w:highlight w:val="none"/>
                      <w:lang w:eastAsia="zh-CN"/>
                    </w:rPr>
                    <w:t>脱硫渣；</w:t>
                  </w:r>
                </w:p>
                <w:p>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地面采用</w:t>
                  </w:r>
                  <w:r>
                    <w:rPr>
                      <w:rFonts w:hint="default" w:ascii="Times New Roman" w:hAnsi="Times New Roman" w:eastAsia="宋体" w:cs="Times New Roman"/>
                      <w:color w:val="auto"/>
                      <w:kern w:val="0"/>
                      <w:sz w:val="21"/>
                      <w:szCs w:val="21"/>
                      <w:highlight w:val="none"/>
                      <w:lang w:eastAsia="zh-CN"/>
                    </w:rPr>
                    <w:t>抗渗</w:t>
                  </w:r>
                  <w:r>
                    <w:rPr>
                      <w:rFonts w:hint="default" w:ascii="Times New Roman" w:hAnsi="Times New Roman" w:eastAsia="宋体" w:cs="Times New Roman"/>
                      <w:color w:val="auto"/>
                      <w:kern w:val="0"/>
                      <w:sz w:val="21"/>
                      <w:szCs w:val="21"/>
                      <w:highlight w:val="none"/>
                    </w:rPr>
                    <w:t>混凝土</w:t>
                  </w:r>
                  <w:r>
                    <w:rPr>
                      <w:rFonts w:hint="default" w:ascii="Times New Roman" w:hAnsi="Times New Roman" w:eastAsia="宋体" w:cs="Times New Roman"/>
                      <w:color w:val="auto"/>
                      <w:kern w:val="0"/>
                      <w:sz w:val="21"/>
                      <w:szCs w:val="21"/>
                      <w:highlight w:val="none"/>
                      <w:lang w:eastAsia="zh-CN"/>
                    </w:rPr>
                    <w:t>硬化措施</w:t>
                  </w:r>
                  <w:r>
                    <w:rPr>
                      <w:rFonts w:hint="default" w:ascii="Times New Roman" w:hAnsi="Times New Roman" w:eastAsia="宋体" w:cs="Times New Roman"/>
                      <w:color w:val="auto"/>
                      <w:kern w:val="0"/>
                      <w:sz w:val="21"/>
                      <w:szCs w:val="21"/>
                      <w:highlight w:val="none"/>
                    </w:rPr>
                    <w:t>，渗透系数≤10</w:t>
                  </w:r>
                  <w:r>
                    <w:rPr>
                      <w:rFonts w:hint="default" w:ascii="Times New Roman" w:hAnsi="Times New Roman" w:eastAsia="宋体" w:cs="Times New Roman"/>
                      <w:color w:val="auto"/>
                      <w:kern w:val="0"/>
                      <w:sz w:val="21"/>
                      <w:szCs w:val="21"/>
                      <w:highlight w:val="none"/>
                      <w:vertAlign w:val="superscript"/>
                    </w:rPr>
                    <w:t>-7</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99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本项目供水来自厂区现有</w:t>
                  </w:r>
                  <w:r>
                    <w:rPr>
                      <w:rFonts w:hint="default" w:ascii="Times New Roman" w:hAnsi="Times New Roman" w:eastAsia="宋体" w:cs="Times New Roman"/>
                      <w:color w:val="auto"/>
                      <w:sz w:val="21"/>
                      <w:szCs w:val="21"/>
                      <w:highlight w:val="none"/>
                      <w:lang w:eastAsia="zh-CN"/>
                    </w:rPr>
                    <w:t>自来水管网</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①软水制备废水和锅炉排污水用于</w:t>
                  </w:r>
                  <w:r>
                    <w:rPr>
                      <w:rFonts w:hint="default" w:ascii="Times New Roman" w:hAnsi="Times New Roman" w:eastAsia="宋体" w:cs="Times New Roman"/>
                      <w:color w:val="auto"/>
                      <w:sz w:val="21"/>
                      <w:szCs w:val="21"/>
                      <w:highlight w:val="none"/>
                      <w:lang w:eastAsia="zh-CN"/>
                    </w:rPr>
                    <w:t>灰渣间</w:t>
                  </w:r>
                  <w:r>
                    <w:rPr>
                      <w:rFonts w:hint="default" w:ascii="Times New Roman" w:hAnsi="Times New Roman" w:eastAsia="宋体" w:cs="Times New Roman"/>
                      <w:color w:val="auto"/>
                      <w:sz w:val="21"/>
                      <w:szCs w:val="21"/>
                      <w:highlight w:val="none"/>
                    </w:rPr>
                    <w:t>抑尘、出渣机补水、空地降尘洒水，不外排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②出渣机废水循环使用，定期补水，不外排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③灰渣间抑尘用水</w:t>
                  </w:r>
                  <w:r>
                    <w:rPr>
                      <w:rFonts w:hint="default" w:ascii="Times New Roman" w:hAnsi="Times New Roman" w:eastAsia="宋体" w:cs="Times New Roman"/>
                      <w:color w:val="auto"/>
                      <w:sz w:val="21"/>
                      <w:szCs w:val="21"/>
                      <w:highlight w:val="none"/>
                    </w:rPr>
                    <w:t>全部被灰渣吸收，通过自然蒸发，无废水产生</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④</w:t>
                  </w: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包括二级沉淀池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总容积12m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）和清水池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容积3m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eastAsia="zh-CN"/>
                    </w:rPr>
                    <w:t>脱硫塔</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val="en-US" w:eastAsia="zh-CN"/>
                    </w:rPr>
                    <w:t>脱硫</w:t>
                  </w: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经沉淀后</w:t>
                  </w:r>
                  <w:r>
                    <w:rPr>
                      <w:rFonts w:hint="default" w:ascii="Times New Roman" w:hAnsi="Times New Roman" w:eastAsia="宋体" w:cs="Times New Roman"/>
                      <w:color w:val="auto"/>
                      <w:sz w:val="21"/>
                      <w:szCs w:val="21"/>
                      <w:highlight w:val="none"/>
                    </w:rPr>
                    <w:t>循环使用，不外排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⑤生活污水排入防渗化粪池内，定期清运至乌拉特前旗污水处理厂处理。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由厂区</w:t>
                  </w:r>
                  <w:r>
                    <w:rPr>
                      <w:rFonts w:hint="default" w:ascii="Times New Roman" w:hAnsi="Times New Roman" w:eastAsia="宋体" w:cs="Times New Roman"/>
                      <w:color w:val="auto"/>
                      <w:sz w:val="21"/>
                      <w:szCs w:val="21"/>
                      <w:highlight w:val="none"/>
                      <w:lang w:eastAsia="zh-CN"/>
                    </w:rPr>
                    <w:t>现有供电系统提供。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990" w:type="dxa"/>
                  <w:vMerge w:val="restar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热水锅炉产生的废气经1台</w:t>
                  </w:r>
                  <w:r>
                    <w:rPr>
                      <w:rFonts w:hint="default" w:ascii="Times New Roman" w:hAnsi="Times New Roman" w:eastAsia="宋体" w:cs="Times New Roman"/>
                      <w:color w:val="auto"/>
                      <w:sz w:val="21"/>
                      <w:szCs w:val="21"/>
                      <w:highlight w:val="none"/>
                      <w:lang w:val="en-US" w:eastAsia="zh-CN"/>
                    </w:rPr>
                    <w:t>多管旋风除尘器+1台布袋除尘器+</w:t>
                  </w:r>
                  <w:r>
                    <w:rPr>
                      <w:rFonts w:hint="default" w:ascii="Times New Roman" w:hAnsi="Times New Roman" w:eastAsia="宋体" w:cs="Times New Roman"/>
                      <w:color w:val="auto"/>
                      <w:sz w:val="21"/>
                      <w:szCs w:val="21"/>
                      <w:highlight w:val="none"/>
                    </w:rPr>
                    <w:t>1台</w:t>
                  </w:r>
                  <w:r>
                    <w:rPr>
                      <w:rFonts w:hint="default" w:ascii="Times New Roman" w:hAnsi="Times New Roman" w:eastAsia="宋体" w:cs="Times New Roman"/>
                      <w:color w:val="auto"/>
                      <w:sz w:val="21"/>
                      <w:szCs w:val="21"/>
                      <w:highlight w:val="none"/>
                      <w:lang w:eastAsia="zh-CN"/>
                    </w:rPr>
                    <w:t>钠碱法脱硫塔（钠碱法）</w:t>
                  </w:r>
                  <w:r>
                    <w:rPr>
                      <w:rFonts w:hint="default" w:ascii="Times New Roman" w:hAnsi="Times New Roman" w:eastAsia="宋体" w:cs="Times New Roman"/>
                      <w:color w:val="auto"/>
                      <w:sz w:val="21"/>
                      <w:szCs w:val="21"/>
                      <w:highlight w:val="none"/>
                    </w:rPr>
                    <w:t>除尘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脱硫</w:t>
                  </w:r>
                  <w:r>
                    <w:rPr>
                      <w:rFonts w:hint="default" w:ascii="Times New Roman" w:hAnsi="Times New Roman" w:eastAsia="宋体" w:cs="Times New Roman"/>
                      <w:color w:val="auto"/>
                      <w:sz w:val="21"/>
                      <w:szCs w:val="21"/>
                      <w:highlight w:val="none"/>
                    </w:rPr>
                    <w:t>处理后，由1根高</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热水锅炉出渣采用湿出渣方式，出渣过程无粉尘排放。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燃煤和</w:t>
                  </w:r>
                  <w:r>
                    <w:rPr>
                      <w:rFonts w:hint="default" w:ascii="Times New Roman" w:hAnsi="Times New Roman" w:eastAsia="宋体" w:cs="Times New Roman"/>
                      <w:color w:val="auto"/>
                      <w:sz w:val="21"/>
                      <w:szCs w:val="21"/>
                      <w:highlight w:val="none"/>
                    </w:rPr>
                    <w:t>灰渣卸载</w:t>
                  </w:r>
                  <w:r>
                    <w:rPr>
                      <w:rFonts w:hint="default" w:ascii="Times New Roman" w:hAnsi="Times New Roman" w:eastAsia="宋体" w:cs="Times New Roman"/>
                      <w:color w:val="auto"/>
                      <w:sz w:val="21"/>
                      <w:szCs w:val="21"/>
                      <w:highlight w:val="none"/>
                      <w:lang w:eastAsia="zh-CN"/>
                    </w:rPr>
                    <w:t>、储存</w:t>
                  </w:r>
                  <w:r>
                    <w:rPr>
                      <w:rFonts w:hint="default" w:ascii="Times New Roman" w:hAnsi="Times New Roman" w:eastAsia="宋体" w:cs="Times New Roman"/>
                      <w:color w:val="auto"/>
                      <w:sz w:val="21"/>
                      <w:szCs w:val="21"/>
                      <w:highlight w:val="none"/>
                    </w:rPr>
                    <w:t>过程中产生的颗粒物经封闭</w:t>
                  </w:r>
                  <w:r>
                    <w:rPr>
                      <w:rFonts w:hint="default" w:ascii="Times New Roman" w:hAnsi="Times New Roman" w:eastAsia="宋体" w:cs="Times New Roman"/>
                      <w:color w:val="auto"/>
                      <w:sz w:val="21"/>
                      <w:szCs w:val="21"/>
                      <w:highlight w:val="none"/>
                      <w:lang w:val="en-US" w:eastAsia="zh-CN"/>
                    </w:rPr>
                    <w:t>库房</w:t>
                  </w:r>
                  <w:r>
                    <w:rPr>
                      <w:rFonts w:hint="default" w:ascii="Times New Roman" w:hAnsi="Times New Roman" w:eastAsia="宋体" w:cs="Times New Roman"/>
                      <w:color w:val="auto"/>
                      <w:sz w:val="21"/>
                      <w:szCs w:val="21"/>
                      <w:highlight w:val="none"/>
                    </w:rPr>
                    <w:t>沉降和洒水抑尘后，以无组织形式排放。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restar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软水制备废水和锅炉排污水用于</w:t>
                  </w:r>
                  <w:r>
                    <w:rPr>
                      <w:rFonts w:hint="default" w:ascii="Times New Roman" w:hAnsi="Times New Roman" w:eastAsia="宋体" w:cs="Times New Roman"/>
                      <w:color w:val="auto"/>
                      <w:sz w:val="21"/>
                      <w:szCs w:val="21"/>
                      <w:highlight w:val="none"/>
                      <w:lang w:eastAsia="zh-CN"/>
                    </w:rPr>
                    <w:t>灰渣间</w:t>
                  </w:r>
                  <w:r>
                    <w:rPr>
                      <w:rFonts w:hint="default" w:ascii="Times New Roman" w:hAnsi="Times New Roman" w:eastAsia="宋体" w:cs="Times New Roman"/>
                      <w:color w:val="auto"/>
                      <w:sz w:val="21"/>
                      <w:szCs w:val="21"/>
                      <w:highlight w:val="none"/>
                    </w:rPr>
                    <w:t>抑尘、出渣机补水、空地降尘洒水，不外排</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出渣机废水循环使用，定期补水，不外排</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灰渣间抑尘用水</w:t>
                  </w:r>
                  <w:r>
                    <w:rPr>
                      <w:rFonts w:hint="default" w:ascii="Times New Roman" w:hAnsi="Times New Roman" w:eastAsia="宋体" w:cs="Times New Roman"/>
                      <w:color w:val="auto"/>
                      <w:sz w:val="21"/>
                      <w:szCs w:val="21"/>
                      <w:highlight w:val="none"/>
                    </w:rPr>
                    <w:t>全部被灰渣吸收，通过自然蒸发，无废水产生</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包括二级沉淀池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总容积12m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）和清水池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容积3m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eastAsia="zh-CN"/>
                    </w:rPr>
                    <w:t>脱硫塔内脱硫废水</w:t>
                  </w:r>
                  <w:r>
                    <w:rPr>
                      <w:rFonts w:hint="default" w:ascii="Times New Roman" w:hAnsi="Times New Roman" w:eastAsia="宋体" w:cs="Times New Roman"/>
                      <w:color w:val="auto"/>
                      <w:sz w:val="21"/>
                      <w:szCs w:val="21"/>
                      <w:highlight w:val="none"/>
                      <w:lang w:val="en-US" w:eastAsia="zh-CN"/>
                    </w:rPr>
                    <w:t>经沉淀后</w:t>
                  </w:r>
                  <w:r>
                    <w:rPr>
                      <w:rFonts w:hint="default" w:ascii="Times New Roman" w:hAnsi="Times New Roman" w:eastAsia="宋体" w:cs="Times New Roman"/>
                      <w:color w:val="auto"/>
                      <w:sz w:val="21"/>
                      <w:szCs w:val="21"/>
                      <w:highlight w:val="none"/>
                    </w:rPr>
                    <w:t>循环使用，不外排</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生活污水排入防渗化粪池内，定期清运至乌拉特前旗污水处理厂处理。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restar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燃煤热水锅炉</w:t>
                  </w:r>
                  <w:r>
                    <w:rPr>
                      <w:rFonts w:hint="default" w:ascii="Times New Roman" w:hAnsi="Times New Roman" w:eastAsia="宋体" w:cs="Times New Roman"/>
                      <w:color w:val="auto"/>
                      <w:sz w:val="21"/>
                      <w:szCs w:val="21"/>
                      <w:highlight w:val="none"/>
                    </w:rPr>
                    <w:t>产生的炉渣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暂存于全封闭灰渣间内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作为</w:t>
                  </w:r>
                  <w:r>
                    <w:rPr>
                      <w:rFonts w:hint="default" w:ascii="Times New Roman" w:hAnsi="Times New Roman" w:eastAsia="宋体" w:cs="Times New Roman"/>
                      <w:color w:val="auto"/>
                      <w:sz w:val="21"/>
                      <w:szCs w:val="21"/>
                      <w:highlight w:val="none"/>
                      <w:lang w:eastAsia="zh-CN"/>
                    </w:rPr>
                    <w:t>建筑材料定期</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lang w:eastAsia="zh-CN"/>
                    </w:rPr>
                    <w:t>建材公司</w:t>
                  </w:r>
                  <w:r>
                    <w:rPr>
                      <w:rFonts w:hint="default" w:ascii="Times New Roman" w:hAnsi="Times New Roman" w:eastAsia="宋体"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eastAsia="zh-CN"/>
                    </w:rPr>
                    <w:t>综合利用</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多管旋风除尘器+布袋除尘器收</w:t>
                  </w:r>
                  <w:r>
                    <w:rPr>
                      <w:rFonts w:hint="default" w:ascii="Times New Roman" w:hAnsi="Times New Roman" w:eastAsia="宋体" w:cs="Times New Roman"/>
                      <w:color w:val="auto"/>
                      <w:sz w:val="21"/>
                      <w:szCs w:val="21"/>
                      <w:highlight w:val="none"/>
                    </w:rPr>
                    <w:t>集的除尘灰，</w:t>
                  </w:r>
                  <w:r>
                    <w:rPr>
                      <w:rFonts w:hint="default" w:ascii="Times New Roman" w:hAnsi="Times New Roman" w:eastAsia="宋体" w:cs="Times New Roman"/>
                      <w:bCs/>
                      <w:color w:val="auto"/>
                      <w:sz w:val="21"/>
                      <w:szCs w:val="21"/>
                      <w:highlight w:val="none"/>
                    </w:rPr>
                    <w:t>暂存于全封闭灰渣间内</w:t>
                  </w:r>
                  <w:r>
                    <w:rPr>
                      <w:rFonts w:hint="default" w:ascii="Times New Roman" w:hAnsi="Times New Roman" w:eastAsia="宋体" w:cs="Times New Roman"/>
                      <w:bCs/>
                      <w:color w:val="auto"/>
                      <w:sz w:val="21"/>
                      <w:szCs w:val="21"/>
                      <w:highlight w:val="none"/>
                      <w:lang w:eastAsia="zh-CN"/>
                    </w:rPr>
                    <w:t>。作为建筑材料定期给建材公司进行综合利用</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软水制备装置产生的废饱和树脂定期更换，由销售厂家直接回收，不在厂区内储存。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沉淀池底部</w:t>
                  </w:r>
                  <w:r>
                    <w:rPr>
                      <w:rFonts w:hint="default" w:ascii="Times New Roman" w:hAnsi="Times New Roman" w:eastAsia="宋体" w:cs="Times New Roman"/>
                      <w:color w:val="auto"/>
                      <w:sz w:val="21"/>
                      <w:szCs w:val="21"/>
                      <w:highlight w:val="none"/>
                      <w:lang w:eastAsia="zh-CN" w:bidi="ar"/>
                    </w:rPr>
                    <w:t>脱硫渣</w:t>
                  </w:r>
                  <w:r>
                    <w:rPr>
                      <w:rFonts w:hint="default" w:ascii="Times New Roman" w:hAnsi="Times New Roman" w:eastAsia="宋体" w:cs="Times New Roman"/>
                      <w:color w:val="auto"/>
                      <w:sz w:val="21"/>
                      <w:szCs w:val="21"/>
                      <w:highlight w:val="none"/>
                      <w:lang w:bidi="ar"/>
                    </w:rPr>
                    <w:t>定期抽入</w:t>
                  </w:r>
                  <w:r>
                    <w:rPr>
                      <w:rFonts w:hint="default" w:ascii="Times New Roman" w:hAnsi="Times New Roman" w:eastAsia="宋体" w:cs="Times New Roman"/>
                      <w:color w:val="auto"/>
                      <w:sz w:val="21"/>
                      <w:szCs w:val="21"/>
                      <w:highlight w:val="none"/>
                      <w:lang w:eastAsia="zh-CN" w:bidi="ar"/>
                    </w:rPr>
                    <w:t>脱硫渣干化池（</w:t>
                  </w:r>
                  <w:r>
                    <w:rPr>
                      <w:rFonts w:hint="default" w:ascii="Times New Roman" w:hAnsi="Times New Roman" w:eastAsia="宋体" w:cs="Times New Roman"/>
                      <w:color w:val="auto"/>
                      <w:sz w:val="21"/>
                      <w:szCs w:val="21"/>
                      <w:highlight w:val="none"/>
                      <w:lang w:bidi="ar"/>
                    </w:rPr>
                    <w:t>容积2m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），可满足干化要求，</w:t>
                  </w:r>
                  <w:r>
                    <w:rPr>
                      <w:rFonts w:hint="default" w:ascii="Times New Roman" w:hAnsi="Times New Roman" w:eastAsia="宋体" w:cs="Times New Roman"/>
                      <w:color w:val="auto"/>
                      <w:sz w:val="21"/>
                      <w:szCs w:val="21"/>
                      <w:highlight w:val="none"/>
                      <w:lang w:eastAsia="zh-CN" w:bidi="ar"/>
                    </w:rPr>
                    <w:t>脱硫渣干化池</w:t>
                  </w:r>
                  <w:r>
                    <w:rPr>
                      <w:rFonts w:hint="default" w:ascii="Times New Roman" w:hAnsi="Times New Roman" w:eastAsia="宋体" w:cs="Times New Roman"/>
                      <w:color w:val="auto"/>
                      <w:sz w:val="21"/>
                      <w:szCs w:val="21"/>
                      <w:highlight w:val="none"/>
                      <w:lang w:bidi="ar"/>
                    </w:rPr>
                    <w:t>内</w:t>
                  </w:r>
                  <w:r>
                    <w:rPr>
                      <w:rFonts w:hint="default" w:ascii="Times New Roman" w:hAnsi="Times New Roman" w:eastAsia="宋体" w:cs="Times New Roman"/>
                      <w:color w:val="auto"/>
                      <w:sz w:val="21"/>
                      <w:szCs w:val="21"/>
                      <w:highlight w:val="none"/>
                      <w:lang w:eastAsia="zh-CN" w:bidi="ar"/>
                    </w:rPr>
                    <w:t>脱硫渣</w:t>
                  </w:r>
                  <w:r>
                    <w:rPr>
                      <w:rFonts w:hint="default" w:ascii="Times New Roman" w:hAnsi="Times New Roman" w:eastAsia="宋体" w:cs="Times New Roman"/>
                      <w:color w:val="auto"/>
                      <w:sz w:val="21"/>
                      <w:szCs w:val="21"/>
                      <w:highlight w:val="none"/>
                      <w:lang w:bidi="ar"/>
                    </w:rPr>
                    <w:t>定期清运至建材公司综合利用。</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三级沉淀池和脱硫渣干化池属于一般防渗区，采取抗渗混凝土防渗措施，渗透系数≤1</w:t>
                  </w:r>
                  <w:r>
                    <w:rPr>
                      <w:rFonts w:hint="default" w:ascii="Times New Roman" w:hAnsi="Times New Roman" w:eastAsia="宋体" w:cs="Times New Roman"/>
                      <w:color w:val="auto"/>
                      <w:sz w:val="21"/>
                      <w:szCs w:val="21"/>
                      <w:highlight w:val="none"/>
                      <w:vertAlign w:val="baseline"/>
                      <w:lang w:eastAsia="zh-CN"/>
                    </w:rPr>
                    <w:t>0</w:t>
                  </w:r>
                  <w:r>
                    <w:rPr>
                      <w:rFonts w:hint="default" w:ascii="Times New Roman" w:hAnsi="Times New Roman" w:eastAsia="宋体" w:cs="Times New Roman"/>
                      <w:color w:val="auto"/>
                      <w:sz w:val="21"/>
                      <w:szCs w:val="21"/>
                      <w:highlight w:val="none"/>
                      <w:vertAlign w:val="superscript"/>
                      <w:lang w:eastAsia="zh-CN"/>
                    </w:rPr>
                    <w:t>-7</w:t>
                  </w:r>
                  <w:r>
                    <w:rPr>
                      <w:rFonts w:hint="default" w:ascii="Times New Roman" w:hAnsi="Times New Roman" w:eastAsia="宋体" w:cs="Times New Roman"/>
                      <w:color w:val="auto"/>
                      <w:sz w:val="21"/>
                      <w:szCs w:val="21"/>
                      <w:highlight w:val="none"/>
                      <w:lang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eastAsia="zh-CN"/>
                    </w:rPr>
                    <w:t>生活垃圾采用垃圾桶收集后，定期运至环卫部门指定地点。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9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629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基础减震、厂房隔声。</w:t>
                  </w:r>
                </w:p>
              </w:tc>
            </w:tr>
          </w:tbl>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2.2</w:t>
            </w:r>
            <w:r>
              <w:rPr>
                <w:rFonts w:hint="default" w:ascii="Times New Roman" w:hAnsi="Times New Roman" w:eastAsia="宋体" w:cs="Times New Roman"/>
                <w:b/>
                <w:bCs/>
                <w:color w:val="auto"/>
                <w:sz w:val="24"/>
                <w:highlight w:val="none"/>
                <w:lang w:eastAsia="zh-CN"/>
              </w:rPr>
              <w:t>原有项目</w:t>
            </w:r>
            <w:r>
              <w:rPr>
                <w:rFonts w:hint="default" w:ascii="Times New Roman" w:hAnsi="Times New Roman" w:eastAsia="宋体" w:cs="Times New Roman"/>
                <w:b/>
                <w:bCs/>
                <w:color w:val="auto"/>
                <w:sz w:val="24"/>
                <w:highlight w:val="none"/>
              </w:rPr>
              <w:t>主要设备</w:t>
            </w:r>
          </w:p>
          <w:p>
            <w:pPr>
              <w:spacing w:line="360" w:lineRule="auto"/>
              <w:ind w:firstLine="482" w:firstLineChars="20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表2-</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eastAsia="zh-CN"/>
              </w:rPr>
              <w:t>原有项目</w:t>
            </w:r>
            <w:r>
              <w:rPr>
                <w:rFonts w:hint="default" w:ascii="Times New Roman" w:hAnsi="Times New Roman" w:eastAsia="宋体" w:cs="Times New Roman"/>
                <w:b/>
                <w:bCs/>
                <w:color w:val="auto"/>
                <w:sz w:val="24"/>
                <w:highlight w:val="none"/>
              </w:rPr>
              <w:t>主要设备</w:t>
            </w:r>
            <w:r>
              <w:rPr>
                <w:rFonts w:hint="default" w:ascii="Times New Roman" w:hAnsi="Times New Roman" w:eastAsia="宋体" w:cs="Times New Roman"/>
                <w:b/>
                <w:bCs/>
                <w:color w:val="auto"/>
                <w:sz w:val="24"/>
                <w:highlight w:val="none"/>
                <w:lang w:val="en-US" w:eastAsia="zh-CN"/>
              </w:rPr>
              <w:t>一览表</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867"/>
              <w:gridCol w:w="1670"/>
              <w:gridCol w:w="2283"/>
              <w:gridCol w:w="655"/>
              <w:gridCol w:w="867"/>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670"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设备名称</w:t>
                  </w:r>
                </w:p>
              </w:tc>
              <w:tc>
                <w:tcPr>
                  <w:tcW w:w="2283"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规格/型号</w:t>
                  </w:r>
                </w:p>
              </w:tc>
              <w:tc>
                <w:tcPr>
                  <w:tcW w:w="655"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单位</w:t>
                  </w: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restart"/>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1</w:t>
                  </w:r>
                </w:p>
              </w:tc>
              <w:tc>
                <w:tcPr>
                  <w:tcW w:w="1670"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炉排减速机</w:t>
                  </w:r>
                </w:p>
              </w:tc>
              <w:tc>
                <w:tcPr>
                  <w:tcW w:w="2283"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锅炉配套</w:t>
                  </w:r>
                </w:p>
              </w:tc>
              <w:tc>
                <w:tcPr>
                  <w:tcW w:w="65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台</w:t>
                  </w: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 xml:space="preserve">1 </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p>
              </w:tc>
              <w:tc>
                <w:tcPr>
                  <w:tcW w:w="1670"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上料机</w:t>
                  </w:r>
                </w:p>
              </w:tc>
              <w:tc>
                <w:tcPr>
                  <w:tcW w:w="2283"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锅炉配套</w:t>
                  </w:r>
                </w:p>
              </w:tc>
              <w:tc>
                <w:tcPr>
                  <w:tcW w:w="65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台</w:t>
                  </w: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 xml:space="preserve">1 </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3</w:t>
                  </w:r>
                </w:p>
              </w:tc>
              <w:tc>
                <w:tcPr>
                  <w:tcW w:w="1670"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出渣机</w:t>
                  </w:r>
                </w:p>
              </w:tc>
              <w:tc>
                <w:tcPr>
                  <w:tcW w:w="2283"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锅炉配套</w:t>
                  </w:r>
                </w:p>
              </w:tc>
              <w:tc>
                <w:tcPr>
                  <w:tcW w:w="65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台</w:t>
                  </w: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 xml:space="preserve">1 </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4</w:t>
                  </w:r>
                </w:p>
              </w:tc>
              <w:tc>
                <w:tcPr>
                  <w:tcW w:w="1670"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软水制备装置</w:t>
                  </w:r>
                </w:p>
              </w:tc>
              <w:tc>
                <w:tcPr>
                  <w:tcW w:w="2283"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lang w:bidi="ar"/>
                    </w:rPr>
                    <w:t>T/</w:t>
                  </w:r>
                  <w:r>
                    <w:rPr>
                      <w:rFonts w:hint="default" w:ascii="Times New Roman" w:hAnsi="Times New Roman" w:eastAsia="宋体" w:cs="Times New Roman"/>
                      <w:color w:val="auto"/>
                      <w:kern w:val="0"/>
                      <w:sz w:val="21"/>
                      <w:szCs w:val="21"/>
                      <w:highlight w:val="none"/>
                      <w:lang w:val="en-US" w:eastAsia="zh-CN" w:bidi="ar"/>
                    </w:rPr>
                    <w:t>h</w:t>
                  </w:r>
                </w:p>
              </w:tc>
              <w:tc>
                <w:tcPr>
                  <w:tcW w:w="65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套</w:t>
                  </w: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 xml:space="preserve">1 </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软水制备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rPr>
                  </w:pP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5</w:t>
                  </w:r>
                </w:p>
              </w:tc>
              <w:tc>
                <w:tcPr>
                  <w:tcW w:w="1670"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循环水泵</w:t>
                  </w:r>
                </w:p>
              </w:tc>
              <w:tc>
                <w:tcPr>
                  <w:tcW w:w="2283"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55KW</w:t>
                  </w:r>
                </w:p>
              </w:tc>
              <w:tc>
                <w:tcPr>
                  <w:tcW w:w="65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台</w:t>
                  </w: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bidi="ar"/>
                    </w:rPr>
                    <w:t xml:space="preserve"> </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6</w:t>
                  </w:r>
                </w:p>
              </w:tc>
              <w:tc>
                <w:tcPr>
                  <w:tcW w:w="167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燃煤热水</w:t>
                  </w:r>
                  <w:r>
                    <w:rPr>
                      <w:rFonts w:hint="default" w:ascii="Times New Roman" w:hAnsi="Times New Roman" w:eastAsia="宋体" w:cs="Times New Roman"/>
                      <w:bCs/>
                      <w:color w:val="auto"/>
                      <w:sz w:val="21"/>
                      <w:szCs w:val="21"/>
                      <w:highlight w:val="none"/>
                    </w:rPr>
                    <w:t>锅炉</w:t>
                  </w:r>
                </w:p>
              </w:tc>
              <w:tc>
                <w:tcPr>
                  <w:tcW w:w="2283"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S</w:t>
                  </w:r>
                  <w:r>
                    <w:rPr>
                      <w:rFonts w:hint="default" w:ascii="Times New Roman" w:hAnsi="Times New Roman" w:eastAsia="宋体" w:cs="Times New Roman"/>
                      <w:color w:val="auto"/>
                      <w:kern w:val="0"/>
                      <w:sz w:val="21"/>
                      <w:szCs w:val="21"/>
                      <w:highlight w:val="none"/>
                    </w:rPr>
                    <w:t>ZL</w:t>
                  </w:r>
                  <w:r>
                    <w:rPr>
                      <w:rFonts w:hint="default" w:ascii="Times New Roman" w:hAnsi="Times New Roman" w:eastAsia="宋体" w:cs="Times New Roman"/>
                      <w:color w:val="auto"/>
                      <w:kern w:val="0"/>
                      <w:sz w:val="21"/>
                      <w:szCs w:val="21"/>
                      <w:highlight w:val="none"/>
                      <w:lang w:val="en-US" w:eastAsia="zh-CN"/>
                    </w:rPr>
                    <w:t>7</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1.0/95/70-AⅡ</w:t>
                  </w:r>
                </w:p>
              </w:tc>
              <w:tc>
                <w:tcPr>
                  <w:tcW w:w="655"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套</w:t>
                  </w: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冬季供暖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7" w:type="dxa"/>
                  <w:vMerge w:val="restart"/>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锅炉配套）</w:t>
                  </w: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w:t>
                  </w:r>
                </w:p>
              </w:tc>
              <w:tc>
                <w:tcPr>
                  <w:tcW w:w="167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TD型陶瓷多管旋风除尘器</w:t>
                  </w:r>
                </w:p>
              </w:tc>
              <w:tc>
                <w:tcPr>
                  <w:tcW w:w="2283"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TD</w:t>
                  </w:r>
                </w:p>
              </w:tc>
              <w:tc>
                <w:tcPr>
                  <w:tcW w:w="655"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套</w:t>
                  </w: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w:t>
                  </w:r>
                </w:p>
              </w:tc>
              <w:tc>
                <w:tcPr>
                  <w:tcW w:w="167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布袋除尘器</w:t>
                  </w:r>
                </w:p>
              </w:tc>
              <w:tc>
                <w:tcPr>
                  <w:tcW w:w="2283"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CMD480</w:t>
                  </w:r>
                </w:p>
              </w:tc>
              <w:tc>
                <w:tcPr>
                  <w:tcW w:w="655"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套</w:t>
                  </w: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w:t>
                  </w:r>
                </w:p>
              </w:tc>
              <w:tc>
                <w:tcPr>
                  <w:tcW w:w="167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钠碱法脱硫塔</w:t>
                  </w:r>
                </w:p>
              </w:tc>
              <w:tc>
                <w:tcPr>
                  <w:tcW w:w="228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GCT</w:t>
                  </w:r>
                </w:p>
              </w:tc>
              <w:tc>
                <w:tcPr>
                  <w:tcW w:w="655"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套</w:t>
                  </w: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脱硫</w:t>
                  </w:r>
                  <w:r>
                    <w:rPr>
                      <w:rFonts w:hint="default" w:ascii="Times New Roman" w:hAnsi="Times New Roman" w:eastAsia="宋体" w:cs="Times New Roman"/>
                      <w:bCs/>
                      <w:color w:val="auto"/>
                      <w:highlight w:val="none"/>
                    </w:rPr>
                    <w:t>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8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w:t>
                  </w:r>
                </w:p>
              </w:tc>
              <w:tc>
                <w:tcPr>
                  <w:tcW w:w="1670"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风机</w:t>
                  </w:r>
                </w:p>
              </w:tc>
              <w:tc>
                <w:tcPr>
                  <w:tcW w:w="2283"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655"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个</w:t>
                  </w:r>
                </w:p>
              </w:tc>
              <w:tc>
                <w:tcPr>
                  <w:tcW w:w="867"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1068"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Merge w:val="continue"/>
                </w:tcPr>
                <w:p>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867"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p>
              </w:tc>
              <w:tc>
                <w:tcPr>
                  <w:tcW w:w="1670"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排气筒</w:t>
                  </w:r>
                </w:p>
              </w:tc>
              <w:tc>
                <w:tcPr>
                  <w:tcW w:w="2283"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40m</w:t>
                  </w:r>
                </w:p>
              </w:tc>
              <w:tc>
                <w:tcPr>
                  <w:tcW w:w="655"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根</w:t>
                  </w:r>
                </w:p>
              </w:tc>
              <w:tc>
                <w:tcPr>
                  <w:tcW w:w="867"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p>
              </w:tc>
              <w:tc>
                <w:tcPr>
                  <w:tcW w:w="1068" w:type="dxa"/>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烟囱</w:t>
                  </w:r>
                </w:p>
              </w:tc>
            </w:tr>
          </w:tbl>
          <w:p>
            <w:pPr>
              <w:spacing w:line="360" w:lineRule="auto"/>
              <w:ind w:firstLine="482" w:firstLineChars="200"/>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b/>
                <w:bCs/>
                <w:color w:val="auto"/>
                <w:sz w:val="24"/>
                <w:highlight w:val="none"/>
                <w:lang w:val="en-US" w:eastAsia="zh-CN"/>
              </w:rPr>
              <w:t>2.3</w:t>
            </w:r>
            <w:r>
              <w:rPr>
                <w:rFonts w:hint="default" w:ascii="Times New Roman" w:hAnsi="Times New Roman" w:eastAsia="宋体" w:cs="Times New Roman"/>
                <w:b/>
                <w:bCs/>
                <w:color w:val="auto"/>
                <w:sz w:val="24"/>
                <w:highlight w:val="none"/>
                <w:lang w:eastAsia="zh-CN"/>
              </w:rPr>
              <w:t>原有项目</w:t>
            </w:r>
            <w:r>
              <w:rPr>
                <w:rFonts w:hint="default" w:ascii="Times New Roman" w:hAnsi="Times New Roman" w:eastAsia="宋体" w:cs="Times New Roman"/>
                <w:b/>
                <w:bCs/>
                <w:color w:val="auto"/>
                <w:sz w:val="24"/>
                <w:szCs w:val="24"/>
                <w:highlight w:val="none"/>
                <w:lang w:val="en-US" w:eastAsia="zh-CN"/>
              </w:rPr>
              <w:t>原辅材料及能源消耗情况</w:t>
            </w:r>
          </w:p>
          <w:p>
            <w:p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szCs w:val="24"/>
                <w:highlight w:val="none"/>
                <w:lang w:eastAsia="zh-CN"/>
              </w:rPr>
              <w:t>原</w:t>
            </w:r>
            <w:r>
              <w:rPr>
                <w:rFonts w:hint="default" w:ascii="Times New Roman" w:hAnsi="Times New Roman" w:eastAsia="宋体" w:cs="Times New Roman"/>
                <w:b/>
                <w:bCs/>
                <w:color w:val="auto"/>
                <w:sz w:val="24"/>
                <w:szCs w:val="24"/>
                <w:highlight w:val="none"/>
                <w:lang w:val="en-US" w:eastAsia="zh-CN"/>
              </w:rPr>
              <w:t>有</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lang w:val="en-US" w:eastAsia="zh-CN"/>
              </w:rPr>
              <w:t>原辅材料及能源</w:t>
            </w:r>
            <w:r>
              <w:rPr>
                <w:rFonts w:hint="default" w:ascii="Times New Roman" w:hAnsi="Times New Roman" w:eastAsia="宋体" w:cs="Times New Roman"/>
                <w:b/>
                <w:bCs/>
                <w:color w:val="auto"/>
                <w:sz w:val="24"/>
                <w:highlight w:val="none"/>
              </w:rPr>
              <w:t>消耗情况一览表</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2"/>
              <w:gridCol w:w="2039"/>
              <w:gridCol w:w="1822"/>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39" w:type="dxa"/>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消耗品</w:t>
                  </w:r>
                </w:p>
              </w:tc>
              <w:tc>
                <w:tcPr>
                  <w:tcW w:w="1822" w:type="dxa"/>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消耗量</w:t>
                  </w:r>
                </w:p>
              </w:tc>
              <w:tc>
                <w:tcPr>
                  <w:tcW w:w="3544" w:type="dxa"/>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39"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燃煤</w:t>
                  </w:r>
                </w:p>
              </w:tc>
              <w:tc>
                <w:tcPr>
                  <w:tcW w:w="18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722</w:t>
                  </w:r>
                  <w:r>
                    <w:rPr>
                      <w:rFonts w:hint="default" w:ascii="Times New Roman" w:hAnsi="Times New Roman" w:eastAsia="宋体" w:cs="Times New Roman"/>
                      <w:color w:val="auto"/>
                      <w:sz w:val="21"/>
                      <w:szCs w:val="21"/>
                      <w:highlight w:val="none"/>
                    </w:rPr>
                    <w:t>t/a</w:t>
                  </w:r>
                </w:p>
              </w:tc>
              <w:tc>
                <w:tcPr>
                  <w:tcW w:w="354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堆存于封闭</w:t>
                  </w:r>
                  <w:r>
                    <w:rPr>
                      <w:rFonts w:hint="default" w:ascii="Times New Roman" w:hAnsi="Times New Roman" w:eastAsia="宋体" w:cs="Times New Roman"/>
                      <w:color w:val="auto"/>
                      <w:sz w:val="21"/>
                      <w:szCs w:val="21"/>
                      <w:highlight w:val="none"/>
                      <w:lang w:val="en-US" w:eastAsia="zh-CN"/>
                    </w:rPr>
                    <w:t>燃料库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039"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氢氧化钠</w:t>
                  </w:r>
                </w:p>
              </w:tc>
              <w:tc>
                <w:tcPr>
                  <w:tcW w:w="182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t/a</w:t>
                  </w:r>
                </w:p>
              </w:tc>
              <w:tc>
                <w:tcPr>
                  <w:tcW w:w="354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堆存于封闭</w:t>
                  </w:r>
                  <w:r>
                    <w:rPr>
                      <w:rFonts w:hint="default" w:ascii="Times New Roman" w:hAnsi="Times New Roman" w:eastAsia="宋体" w:cs="Times New Roman"/>
                      <w:color w:val="auto"/>
                      <w:sz w:val="21"/>
                      <w:szCs w:val="21"/>
                      <w:highlight w:val="none"/>
                      <w:lang w:eastAsia="zh-CN"/>
                    </w:rPr>
                    <w:t>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203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tc>
              <w:tc>
                <w:tcPr>
                  <w:tcW w:w="18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3492</w:t>
                  </w:r>
                  <w:r>
                    <w:rPr>
                      <w:rFonts w:hint="default" w:ascii="Times New Roman" w:hAnsi="Times New Roman" w:eastAsia="宋体" w:cs="Times New Roman"/>
                      <w:color w:val="auto"/>
                      <w:sz w:val="21"/>
                      <w:szCs w:val="21"/>
                      <w:highlight w:val="none"/>
                    </w:rPr>
                    <w:t>t/a</w:t>
                  </w:r>
                </w:p>
              </w:tc>
              <w:tc>
                <w:tcPr>
                  <w:tcW w:w="354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203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18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43.74</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KWh/a</w:t>
                  </w:r>
                </w:p>
              </w:tc>
              <w:tc>
                <w:tcPr>
                  <w:tcW w:w="354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spacing w:line="360" w:lineRule="auto"/>
              <w:jc w:val="center"/>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rPr>
              <w:t>表2-</w:t>
            </w:r>
            <w:r>
              <w:rPr>
                <w:rFonts w:hint="default" w:ascii="Times New Roman" w:hAnsi="Times New Roman" w:eastAsia="宋体"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rPr>
              <w:t xml:space="preserve"> </w:t>
            </w:r>
            <w:r>
              <w:rPr>
                <w:rFonts w:hint="default" w:ascii="Times New Roman" w:hAnsi="Times New Roman" w:eastAsia="宋体" w:cs="Times New Roman"/>
                <w:b/>
                <w:bCs w:val="0"/>
                <w:color w:val="auto"/>
                <w:sz w:val="24"/>
                <w:highlight w:val="none"/>
                <w:lang w:val="en-US" w:eastAsia="zh-CN"/>
              </w:rPr>
              <w:t xml:space="preserve">  </w:t>
            </w:r>
            <w:r>
              <w:rPr>
                <w:rFonts w:hint="default" w:ascii="Times New Roman" w:hAnsi="Times New Roman" w:eastAsia="宋体" w:cs="Times New Roman"/>
                <w:b/>
                <w:bCs w:val="0"/>
                <w:color w:val="auto"/>
                <w:sz w:val="24"/>
                <w:highlight w:val="none"/>
              </w:rPr>
              <w:t>煤质成分表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80"/>
              <w:gridCol w:w="1180"/>
              <w:gridCol w:w="1180"/>
              <w:gridCol w:w="1180"/>
              <w:gridCol w:w="1180"/>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bidi="ar"/>
                    </w:rPr>
                  </w:pPr>
                  <w:r>
                    <w:rPr>
                      <w:rFonts w:hint="default" w:ascii="Times New Roman" w:hAnsi="Times New Roman" w:eastAsia="宋体" w:cs="Times New Roman"/>
                      <w:b w:val="0"/>
                      <w:bCs w:val="0"/>
                      <w:color w:val="auto"/>
                      <w:highlight w:val="none"/>
                      <w:lang w:bidi="ar"/>
                    </w:rPr>
                    <w:t>名称</w:t>
                  </w:r>
                </w:p>
              </w:tc>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bidi="ar"/>
                    </w:rPr>
                  </w:pPr>
                  <w:r>
                    <w:rPr>
                      <w:rFonts w:hint="default" w:ascii="Times New Roman" w:hAnsi="Times New Roman" w:eastAsia="宋体" w:cs="Times New Roman"/>
                      <w:b w:val="0"/>
                      <w:bCs w:val="0"/>
                      <w:color w:val="auto"/>
                      <w:highlight w:val="none"/>
                      <w:lang w:bidi="ar"/>
                    </w:rPr>
                    <w:t>收到基低位发热量MJ/kg</w:t>
                  </w:r>
                </w:p>
              </w:tc>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bidi="ar"/>
                    </w:rPr>
                  </w:pPr>
                  <w:r>
                    <w:rPr>
                      <w:rFonts w:hint="default" w:ascii="Times New Roman" w:hAnsi="Times New Roman" w:eastAsia="宋体" w:cs="Times New Roman"/>
                      <w:b w:val="0"/>
                      <w:bCs w:val="0"/>
                      <w:color w:val="auto"/>
                      <w:highlight w:val="none"/>
                      <w:lang w:bidi="ar"/>
                    </w:rPr>
                    <w:t>硫份%</w:t>
                  </w:r>
                </w:p>
              </w:tc>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bidi="ar"/>
                    </w:rPr>
                  </w:pPr>
                  <w:r>
                    <w:rPr>
                      <w:rFonts w:hint="default" w:ascii="Times New Roman" w:hAnsi="Times New Roman" w:eastAsia="宋体" w:cs="Times New Roman"/>
                      <w:b w:val="0"/>
                      <w:bCs w:val="0"/>
                      <w:color w:val="auto"/>
                      <w:highlight w:val="none"/>
                      <w:lang w:bidi="ar"/>
                    </w:rPr>
                    <w:t>灰份%</w:t>
                  </w:r>
                </w:p>
              </w:tc>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bidi="ar"/>
                    </w:rPr>
                  </w:pPr>
                  <w:r>
                    <w:rPr>
                      <w:rFonts w:hint="default" w:ascii="Times New Roman" w:hAnsi="Times New Roman" w:eastAsia="宋体" w:cs="Times New Roman"/>
                      <w:b w:val="0"/>
                      <w:bCs w:val="0"/>
                      <w:color w:val="auto"/>
                      <w:highlight w:val="none"/>
                      <w:lang w:bidi="ar"/>
                    </w:rPr>
                    <w:t>水份%</w:t>
                  </w:r>
                </w:p>
              </w:tc>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bidi="ar"/>
                    </w:rPr>
                  </w:pPr>
                  <w:r>
                    <w:rPr>
                      <w:rFonts w:hint="default" w:ascii="Times New Roman" w:hAnsi="Times New Roman" w:eastAsia="宋体" w:cs="Times New Roman"/>
                      <w:b w:val="0"/>
                      <w:bCs w:val="0"/>
                      <w:color w:val="auto"/>
                      <w:highlight w:val="none"/>
                      <w:lang w:bidi="ar"/>
                    </w:rPr>
                    <w:t>挥发份%</w:t>
                  </w:r>
                </w:p>
              </w:tc>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bidi="ar"/>
                    </w:rPr>
                  </w:pPr>
                  <w:r>
                    <w:rPr>
                      <w:rFonts w:hint="default" w:ascii="Times New Roman" w:hAnsi="Times New Roman" w:eastAsia="宋体" w:cs="Times New Roman"/>
                      <w:b w:val="0"/>
                      <w:bCs w:val="0"/>
                      <w:color w:val="auto"/>
                      <w:highlight w:val="none"/>
                      <w:lang w:bidi="ar"/>
                    </w:rPr>
                    <w:t>汞含量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eastAsia="zh-CN" w:bidi="ar"/>
                    </w:rPr>
                  </w:pPr>
                  <w:r>
                    <w:rPr>
                      <w:rFonts w:hint="default" w:ascii="Times New Roman" w:hAnsi="Times New Roman" w:eastAsia="宋体" w:cs="Times New Roman"/>
                      <w:b w:val="0"/>
                      <w:bCs w:val="0"/>
                      <w:color w:val="auto"/>
                      <w:highlight w:val="none"/>
                      <w:lang w:val="en-US" w:eastAsia="zh-CN" w:bidi="ar"/>
                    </w:rPr>
                    <w:t>燃煤</w:t>
                  </w:r>
                </w:p>
              </w:tc>
              <w:tc>
                <w:tcPr>
                  <w:tcW w:w="50" w:type="pct"/>
                  <w:noWrap w:val="0"/>
                  <w:vAlign w:val="center"/>
                </w:tcPr>
                <w:p>
                  <w:pPr>
                    <w:snapToGrid w:val="0"/>
                    <w:spacing w:line="240" w:lineRule="auto"/>
                    <w:jc w:val="center"/>
                    <w:rPr>
                      <w:rFonts w:hint="default" w:ascii="Times New Roman" w:hAnsi="Times New Roman" w:eastAsia="宋体" w:cs="Times New Roman"/>
                      <w:b w:val="0"/>
                      <w:bCs w:val="0"/>
                      <w:color w:val="auto"/>
                      <w:highlight w:val="none"/>
                      <w:lang w:bidi="ar"/>
                    </w:rPr>
                  </w:pPr>
                  <w:r>
                    <w:rPr>
                      <w:rFonts w:hint="default" w:ascii="Times New Roman" w:hAnsi="Times New Roman" w:eastAsia="宋体" w:cs="Times New Roman"/>
                      <w:b w:val="0"/>
                      <w:bCs w:val="0"/>
                      <w:color w:val="auto"/>
                      <w:highlight w:val="none"/>
                      <w:lang w:bidi="ar"/>
                    </w:rPr>
                    <w:t>25.55</w:t>
                  </w:r>
                </w:p>
              </w:tc>
              <w:tc>
                <w:tcPr>
                  <w:tcW w:w="50" w:type="pct"/>
                  <w:noWrap w:val="0"/>
                  <w:vAlign w:val="center"/>
                </w:tcPr>
                <w:p>
                  <w:pPr>
                    <w:spacing w:line="240" w:lineRule="auto"/>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0.35</w:t>
                  </w:r>
                </w:p>
              </w:tc>
              <w:tc>
                <w:tcPr>
                  <w:tcW w:w="50" w:type="pct"/>
                  <w:noWrap w:val="0"/>
                  <w:vAlign w:val="center"/>
                </w:tcPr>
                <w:p>
                  <w:pPr>
                    <w:spacing w:line="240" w:lineRule="auto"/>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5.37</w:t>
                  </w:r>
                </w:p>
              </w:tc>
              <w:tc>
                <w:tcPr>
                  <w:tcW w:w="50" w:type="pct"/>
                  <w:noWrap w:val="0"/>
                  <w:vAlign w:val="center"/>
                </w:tcPr>
                <w:p>
                  <w:pPr>
                    <w:spacing w:line="240" w:lineRule="auto"/>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15.0</w:t>
                  </w:r>
                </w:p>
              </w:tc>
              <w:tc>
                <w:tcPr>
                  <w:tcW w:w="50" w:type="pct"/>
                  <w:noWrap w:val="0"/>
                  <w:vAlign w:val="center"/>
                </w:tcPr>
                <w:p>
                  <w:pPr>
                    <w:spacing w:line="240" w:lineRule="auto"/>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32.16</w:t>
                  </w:r>
                </w:p>
              </w:tc>
              <w:tc>
                <w:tcPr>
                  <w:tcW w:w="50" w:type="pct"/>
                  <w:noWrap w:val="0"/>
                  <w:vAlign w:val="center"/>
                </w:tcPr>
                <w:p>
                  <w:pPr>
                    <w:spacing w:line="240" w:lineRule="auto"/>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0.015</w:t>
                  </w:r>
                  <w:r>
                    <w:rPr>
                      <w:rFonts w:hint="default" w:ascii="Times New Roman" w:hAnsi="Times New Roman" w:eastAsia="宋体" w:cs="Times New Roman"/>
                      <w:b w:val="0"/>
                      <w:bCs w:val="0"/>
                      <w:color w:val="auto"/>
                      <w:highlight w:val="none"/>
                      <w:lang w:bidi="ar"/>
                    </w:rPr>
                    <w:t>μg/g</w:t>
                  </w:r>
                </w:p>
              </w:tc>
            </w:tr>
          </w:tbl>
          <w:p>
            <w:pPr>
              <w:spacing w:line="360" w:lineRule="auto"/>
              <w:ind w:firstLine="482" w:firstLineChars="200"/>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lang w:val="en-US" w:eastAsia="zh-CN"/>
              </w:rPr>
              <w:t>3、改建项目</w:t>
            </w:r>
            <w:r>
              <w:rPr>
                <w:rFonts w:hint="default" w:ascii="Times New Roman" w:hAnsi="Times New Roman" w:eastAsia="宋体" w:cs="Times New Roman"/>
                <w:b/>
                <w:bCs/>
                <w:color w:val="auto"/>
                <w:sz w:val="24"/>
                <w:szCs w:val="32"/>
                <w:highlight w:val="none"/>
              </w:rPr>
              <w:t>概况</w:t>
            </w:r>
          </w:p>
          <w:p>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项目名称：</w:t>
            </w:r>
            <w:r>
              <w:rPr>
                <w:rFonts w:hint="eastAsia" w:ascii="Times New Roman" w:hAnsi="Times New Roman" w:eastAsia="宋体" w:cs="Times New Roman"/>
                <w:color w:val="auto"/>
                <w:sz w:val="24"/>
                <w:highlight w:val="none"/>
                <w:lang w:eastAsia="zh-CN"/>
              </w:rPr>
              <w:t>乌化社区乌拉山化肥厂家属楼供暖锅炉项目</w:t>
            </w:r>
            <w:r>
              <w:rPr>
                <w:rFonts w:hint="default" w:ascii="Times New Roman" w:hAnsi="Times New Roman" w:eastAsia="宋体" w:cs="Times New Roman"/>
                <w:color w:val="auto"/>
                <w:sz w:val="24"/>
                <w:szCs w:val="32"/>
                <w:highlight w:val="none"/>
              </w:rPr>
              <w:t>；</w:t>
            </w:r>
          </w:p>
          <w:p>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建设性质：</w:t>
            </w:r>
            <w:r>
              <w:rPr>
                <w:rFonts w:hint="default" w:ascii="Times New Roman" w:hAnsi="Times New Roman" w:eastAsia="宋体" w:cs="Times New Roman"/>
                <w:color w:val="auto"/>
                <w:sz w:val="24"/>
                <w:szCs w:val="32"/>
                <w:highlight w:val="none"/>
                <w:lang w:eastAsia="zh-CN"/>
              </w:rPr>
              <w:t>改</w:t>
            </w:r>
            <w:r>
              <w:rPr>
                <w:rFonts w:hint="default" w:ascii="Times New Roman" w:hAnsi="Times New Roman" w:eastAsia="宋体" w:cs="Times New Roman"/>
                <w:color w:val="auto"/>
                <w:sz w:val="24"/>
                <w:highlight w:val="none"/>
              </w:rPr>
              <w:t>建</w:t>
            </w:r>
            <w:r>
              <w:rPr>
                <w:rFonts w:hint="default" w:ascii="Times New Roman" w:hAnsi="Times New Roman" w:eastAsia="宋体" w:cs="Times New Roman"/>
                <w:color w:val="auto"/>
                <w:sz w:val="24"/>
                <w:szCs w:val="32"/>
                <w:highlight w:val="none"/>
              </w:rPr>
              <w:t>；</w:t>
            </w:r>
          </w:p>
          <w:p>
            <w:pPr>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highlight w:val="none"/>
                <w:lang w:eastAsia="zh-CN"/>
              </w:rPr>
              <w:t>乌拉山镇人民政府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建设地点：内蒙古自治区巴彦淖尔市乌拉特前旗</w:t>
            </w:r>
            <w:r>
              <w:rPr>
                <w:rFonts w:hint="default" w:ascii="Times New Roman" w:hAnsi="Times New Roman" w:eastAsia="宋体" w:cs="Times New Roman"/>
                <w:color w:val="auto"/>
                <w:sz w:val="24"/>
                <w:szCs w:val="24"/>
                <w:highlight w:val="none"/>
                <w:lang w:val="en-US" w:eastAsia="zh-CN"/>
              </w:rPr>
              <w:t>乌拉山镇乌化社区</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占地面积：本次工程不新增占地</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项目投资：总投资</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0万元，环保投资为</w:t>
            </w:r>
            <w:r>
              <w:rPr>
                <w:rFonts w:hint="default" w:ascii="Times New Roman" w:hAnsi="Times New Roman" w:eastAsia="宋体" w:cs="Times New Roman"/>
                <w:color w:val="auto"/>
                <w:sz w:val="24"/>
                <w:highlight w:val="none"/>
                <w:lang w:val="en-US" w:eastAsia="zh-CN"/>
              </w:rPr>
              <w:t>30.6</w:t>
            </w:r>
            <w:r>
              <w:rPr>
                <w:rFonts w:hint="default" w:ascii="Times New Roman" w:hAnsi="Times New Roman" w:eastAsia="宋体" w:cs="Times New Roman"/>
                <w:color w:val="auto"/>
                <w:sz w:val="24"/>
                <w:szCs w:val="24"/>
                <w:highlight w:val="none"/>
              </w:rPr>
              <w:t>万元，占总投资的20.41%。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建设内容：</w:t>
            </w:r>
            <w:r>
              <w:rPr>
                <w:rFonts w:hint="default" w:ascii="Times New Roman" w:hAnsi="Times New Roman" w:eastAsia="宋体" w:cs="Times New Roman"/>
                <w:color w:val="auto"/>
                <w:sz w:val="24"/>
                <w:szCs w:val="24"/>
                <w:highlight w:val="none"/>
                <w:lang w:val="en-US" w:eastAsia="zh-CN"/>
              </w:rPr>
              <w:t>利用原有锅炉房，拆除原有</w:t>
            </w:r>
            <w:r>
              <w:rPr>
                <w:rFonts w:hint="default" w:ascii="Times New Roman" w:hAnsi="Times New Roman" w:eastAsia="宋体" w:cs="Times New Roman"/>
                <w:color w:val="auto"/>
                <w:sz w:val="24"/>
                <w:szCs w:val="24"/>
                <w:highlight w:val="none"/>
                <w:lang w:eastAsia="zh-CN"/>
              </w:rPr>
              <w:t>1台</w:t>
            </w:r>
            <w:r>
              <w:rPr>
                <w:rFonts w:hint="eastAsia" w:ascii="Times New Roman" w:hAnsi="Times New Roman" w:eastAsia="宋体" w:cs="Times New Roman"/>
                <w:color w:val="auto"/>
                <w:sz w:val="24"/>
                <w:szCs w:val="24"/>
                <w:highlight w:val="none"/>
                <w:lang w:eastAsia="zh-CN"/>
              </w:rPr>
              <w:t>7MW</w:t>
            </w:r>
            <w:r>
              <w:rPr>
                <w:rFonts w:hint="default" w:ascii="Times New Roman" w:hAnsi="Times New Roman" w:eastAsia="宋体" w:cs="Times New Roman"/>
                <w:color w:val="auto"/>
                <w:sz w:val="24"/>
                <w:szCs w:val="24"/>
                <w:highlight w:val="none"/>
                <w:lang w:eastAsia="zh-CN"/>
              </w:rPr>
              <w:t>燃煤热水锅炉，改建为1台</w:t>
            </w:r>
            <w:r>
              <w:rPr>
                <w:rFonts w:hint="eastAsia" w:ascii="Times New Roman" w:hAnsi="Times New Roman" w:eastAsia="宋体" w:cs="Times New Roman"/>
                <w:color w:val="auto"/>
                <w:sz w:val="24"/>
                <w:szCs w:val="24"/>
                <w:highlight w:val="none"/>
                <w:lang w:eastAsia="zh-CN"/>
              </w:rPr>
              <w:t>7MW</w:t>
            </w:r>
            <w:r>
              <w:rPr>
                <w:rFonts w:hint="default" w:ascii="Times New Roman" w:hAnsi="Times New Roman" w:eastAsia="宋体" w:cs="Times New Roman"/>
                <w:color w:val="auto"/>
                <w:sz w:val="24"/>
                <w:szCs w:val="24"/>
                <w:highlight w:val="none"/>
                <w:lang w:eastAsia="zh-CN"/>
              </w:rPr>
              <w:t>生物质热水锅炉，利用原有废气治理措施“</w:t>
            </w:r>
            <w:r>
              <w:rPr>
                <w:rFonts w:hint="default" w:ascii="Times New Roman" w:hAnsi="Times New Roman" w:eastAsia="宋体" w:cs="Times New Roman"/>
                <w:color w:val="auto"/>
                <w:sz w:val="24"/>
                <w:highlight w:val="none"/>
                <w:lang w:val="en-US" w:eastAsia="zh-CN"/>
              </w:rPr>
              <w:t>1台多管旋风除尘器+1台布袋除尘器+1台钠碱法脱硫塔+1根40m高排气筒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改建</w:t>
            </w:r>
            <w:r>
              <w:rPr>
                <w:rFonts w:hint="default" w:ascii="Times New Roman" w:hAnsi="Times New Roman" w:eastAsia="宋体" w:cs="Times New Roman"/>
                <w:color w:val="auto"/>
                <w:sz w:val="24"/>
                <w:szCs w:val="24"/>
                <w:highlight w:val="none"/>
                <w:lang w:eastAsia="zh-CN"/>
              </w:rPr>
              <w:t>灰渣间，建筑面积由原来的</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改建为400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；改建燃料库，建筑面积由原来的600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改建为1300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运营情况：本项目建设1台</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，冬季为</w:t>
            </w:r>
            <w:r>
              <w:rPr>
                <w:rFonts w:hint="default" w:ascii="Times New Roman" w:hAnsi="Times New Roman" w:eastAsia="宋体" w:cs="Times New Roman"/>
                <w:color w:val="auto"/>
                <w:sz w:val="24"/>
                <w:szCs w:val="24"/>
                <w:highlight w:val="none"/>
                <w:lang w:eastAsia="zh-CN"/>
              </w:rPr>
              <w:t>乌拉特前旗</w:t>
            </w:r>
            <w:r>
              <w:rPr>
                <w:rFonts w:hint="default" w:ascii="Times New Roman" w:hAnsi="Times New Roman" w:eastAsia="宋体" w:cs="Times New Roman"/>
                <w:color w:val="auto"/>
                <w:kern w:val="2"/>
                <w:sz w:val="24"/>
                <w:szCs w:val="24"/>
                <w:highlight w:val="none"/>
                <w:lang w:val="en-US" w:eastAsia="zh-CN" w:bidi="ar-SA"/>
              </w:rPr>
              <w:t>乌拉山乌化社区厂生活区供暖</w:t>
            </w:r>
            <w:r>
              <w:rPr>
                <w:rFonts w:hint="default" w:ascii="Times New Roman" w:hAnsi="Times New Roman" w:eastAsia="宋体" w:cs="Times New Roman"/>
                <w:color w:val="auto"/>
                <w:sz w:val="24"/>
                <w:szCs w:val="24"/>
                <w:highlight w:val="none"/>
              </w:rPr>
              <w:t>，运营期为10月中旬</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次年4月中旬，年运营180天</w:t>
            </w:r>
            <w:r>
              <w:rPr>
                <w:rFonts w:hint="default" w:ascii="Times New Roman" w:hAnsi="Times New Roman" w:eastAsia="宋体" w:cs="Times New Roman"/>
                <w:color w:val="auto"/>
                <w:sz w:val="24"/>
                <w:szCs w:val="24"/>
                <w:highlight w:val="none"/>
                <w:lang w:val="en-US" w:eastAsia="zh-CN"/>
              </w:rPr>
              <w:t>。</w:t>
            </w:r>
          </w:p>
          <w:p>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32"/>
                <w:highlight w:val="none"/>
                <w:lang w:val="en-US" w:eastAsia="zh-CN"/>
              </w:rPr>
              <w:t>4、本项</w:t>
            </w:r>
            <w:r>
              <w:rPr>
                <w:rFonts w:hint="default" w:ascii="Times New Roman" w:hAnsi="Times New Roman" w:eastAsia="宋体" w:cs="Times New Roman"/>
                <w:b/>
                <w:bCs/>
                <w:color w:val="auto"/>
                <w:sz w:val="24"/>
                <w:szCs w:val="24"/>
                <w:highlight w:val="none"/>
              </w:rPr>
              <w:t>目组成情况</w:t>
            </w:r>
          </w:p>
          <w:p>
            <w:p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eastAsia="zh-CN"/>
              </w:rPr>
              <w:t>本</w:t>
            </w:r>
            <w:r>
              <w:rPr>
                <w:rFonts w:hint="default" w:ascii="Times New Roman" w:hAnsi="Times New Roman" w:eastAsia="宋体" w:cs="Times New Roman"/>
                <w:b/>
                <w:bCs/>
                <w:color w:val="auto"/>
                <w:sz w:val="24"/>
                <w:highlight w:val="none"/>
              </w:rPr>
              <w:t>项目组成表</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7"/>
              <w:gridCol w:w="657"/>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w:t>
                  </w:r>
                </w:p>
              </w:tc>
              <w:tc>
                <w:tcPr>
                  <w:tcW w:w="657" w:type="dxa"/>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2321" w:type="dxa"/>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原有</w:t>
                  </w:r>
                  <w:r>
                    <w:rPr>
                      <w:rFonts w:hint="default" w:ascii="Times New Roman" w:hAnsi="Times New Roman" w:eastAsia="宋体" w:cs="Times New Roman"/>
                      <w:b/>
                      <w:bCs/>
                      <w:color w:val="auto"/>
                      <w:sz w:val="21"/>
                      <w:szCs w:val="21"/>
                      <w:highlight w:val="none"/>
                    </w:rPr>
                    <w:t>项目建设内容</w:t>
                  </w:r>
                </w:p>
              </w:tc>
              <w:tc>
                <w:tcPr>
                  <w:tcW w:w="2321" w:type="dxa"/>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本</w:t>
                  </w:r>
                  <w:r>
                    <w:rPr>
                      <w:rFonts w:hint="default" w:ascii="Times New Roman" w:hAnsi="Times New Roman" w:eastAsia="宋体" w:cs="Times New Roman"/>
                      <w:b/>
                      <w:bCs/>
                      <w:color w:val="auto"/>
                      <w:sz w:val="21"/>
                      <w:szCs w:val="21"/>
                      <w:highlight w:val="none"/>
                    </w:rPr>
                    <w:t>项目建设内容</w:t>
                  </w:r>
                </w:p>
              </w:tc>
              <w:tc>
                <w:tcPr>
                  <w:tcW w:w="2321" w:type="dxa"/>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改建后全厂建设内容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6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锅炉房</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锅炉房建筑面积</w:t>
                  </w:r>
                  <w:r>
                    <w:rPr>
                      <w:rFonts w:hint="default" w:ascii="Times New Roman" w:hAnsi="Times New Roman" w:eastAsia="宋体" w:cs="Times New Roman"/>
                      <w:color w:val="auto"/>
                      <w:kern w:val="0"/>
                      <w:sz w:val="21"/>
                      <w:szCs w:val="21"/>
                      <w:highlight w:val="none"/>
                      <w:lang w:val="en-US" w:eastAsia="zh-CN"/>
                    </w:rPr>
                    <w:t>150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全封闭</w:t>
                  </w:r>
                  <w:r>
                    <w:rPr>
                      <w:rFonts w:hint="default" w:ascii="Times New Roman" w:hAnsi="Times New Roman" w:eastAsia="宋体" w:cs="Times New Roman"/>
                      <w:color w:val="auto"/>
                      <w:sz w:val="21"/>
                      <w:szCs w:val="21"/>
                      <w:highlight w:val="none"/>
                    </w:rPr>
                    <w:t>砖混结构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内设</w:t>
                  </w:r>
                  <w:r>
                    <w:rPr>
                      <w:rFonts w:hint="default"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1台</w:t>
                  </w:r>
                  <w:r>
                    <w:rPr>
                      <w:rFonts w:hint="eastAsia" w:ascii="Times New Roman" w:hAnsi="Times New Roman" w:eastAsia="宋体" w:cs="Times New Roman"/>
                      <w:color w:val="auto"/>
                      <w:sz w:val="21"/>
                      <w:szCs w:val="21"/>
                      <w:highlight w:val="none"/>
                      <w:lang w:val="en-US" w:eastAsia="zh-CN"/>
                    </w:rPr>
                    <w:t>7MW</w:t>
                  </w:r>
                  <w:r>
                    <w:rPr>
                      <w:rFonts w:hint="default" w:ascii="Times New Roman" w:hAnsi="Times New Roman" w:eastAsia="宋体" w:cs="Times New Roman"/>
                      <w:color w:val="auto"/>
                      <w:sz w:val="21"/>
                      <w:szCs w:val="21"/>
                      <w:highlight w:val="none"/>
                      <w:lang w:val="en-US" w:eastAsia="zh-CN"/>
                    </w:rPr>
                    <w:t>燃煤热水锅炉，以及配套1台多管旋风除尘器+1台布袋除尘器+1台钠碱法脱硫塔+</w:t>
                  </w: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40m</w:t>
                  </w:r>
                  <w:r>
                    <w:rPr>
                      <w:rFonts w:hint="default" w:ascii="Times New Roman" w:hAnsi="Times New Roman" w:eastAsia="宋体" w:cs="Times New Roman"/>
                      <w:color w:val="auto"/>
                      <w:sz w:val="21"/>
                      <w:szCs w:val="21"/>
                      <w:highlight w:val="none"/>
                      <w:lang w:eastAsia="zh-CN"/>
                    </w:rPr>
                    <w:t>高</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拆除原有</w:t>
                  </w:r>
                  <w:r>
                    <w:rPr>
                      <w:rFonts w:hint="default" w:ascii="Times New Roman" w:hAnsi="Times New Roman" w:eastAsia="宋体" w:cs="Times New Roman"/>
                      <w:b w:val="0"/>
                      <w:bCs w:val="0"/>
                      <w:color w:val="auto"/>
                      <w:sz w:val="21"/>
                      <w:szCs w:val="21"/>
                      <w:highlight w:val="none"/>
                    </w:rPr>
                    <w:t>1台</w:t>
                  </w:r>
                  <w:r>
                    <w:rPr>
                      <w:rFonts w:hint="eastAsia" w:ascii="Times New Roman" w:hAnsi="Times New Roman" w:eastAsia="宋体" w:cs="Times New Roman"/>
                      <w:b w:val="0"/>
                      <w:bCs w:val="0"/>
                      <w:color w:val="auto"/>
                      <w:sz w:val="21"/>
                      <w:szCs w:val="21"/>
                      <w:highlight w:val="none"/>
                      <w:lang w:eastAsia="zh-CN"/>
                    </w:rPr>
                    <w:t>7MW</w:t>
                  </w:r>
                  <w:r>
                    <w:rPr>
                      <w:rFonts w:hint="default" w:ascii="Times New Roman" w:hAnsi="Times New Roman" w:eastAsia="宋体" w:cs="Times New Roman"/>
                      <w:b w:val="0"/>
                      <w:bCs w:val="0"/>
                      <w:color w:val="auto"/>
                      <w:sz w:val="21"/>
                      <w:szCs w:val="21"/>
                      <w:highlight w:val="none"/>
                      <w:lang w:eastAsia="zh-CN"/>
                    </w:rPr>
                    <w:t>燃煤热水锅炉，</w:t>
                  </w:r>
                  <w:r>
                    <w:rPr>
                      <w:rFonts w:hint="default" w:ascii="Times New Roman" w:hAnsi="Times New Roman" w:eastAsia="宋体" w:cs="Times New Roman"/>
                      <w:b w:val="0"/>
                      <w:bCs w:val="0"/>
                      <w:color w:val="auto"/>
                      <w:sz w:val="21"/>
                      <w:szCs w:val="21"/>
                      <w:highlight w:val="none"/>
                      <w:lang w:val="en-US" w:eastAsia="zh-CN"/>
                    </w:rPr>
                    <w:t>新建</w:t>
                  </w:r>
                  <w:r>
                    <w:rPr>
                      <w:rFonts w:hint="default" w:ascii="Times New Roman" w:hAnsi="Times New Roman" w:eastAsia="宋体" w:cs="Times New Roman"/>
                      <w:b w:val="0"/>
                      <w:bCs w:val="0"/>
                      <w:color w:val="auto"/>
                      <w:sz w:val="21"/>
                      <w:szCs w:val="21"/>
                      <w:highlight w:val="none"/>
                    </w:rPr>
                    <w:t>1台</w:t>
                  </w:r>
                  <w:r>
                    <w:rPr>
                      <w:rFonts w:hint="eastAsia" w:ascii="Times New Roman" w:hAnsi="Times New Roman" w:eastAsia="宋体" w:cs="Times New Roman"/>
                      <w:b w:val="0"/>
                      <w:bCs w:val="0"/>
                      <w:color w:val="auto"/>
                      <w:sz w:val="21"/>
                      <w:szCs w:val="21"/>
                      <w:highlight w:val="none"/>
                      <w:lang w:eastAsia="zh-CN"/>
                    </w:rPr>
                    <w:t>7MW</w:t>
                  </w:r>
                  <w:r>
                    <w:rPr>
                      <w:rFonts w:hint="default" w:ascii="Times New Roman" w:hAnsi="Times New Roman" w:eastAsia="宋体" w:cs="Times New Roman"/>
                      <w:b w:val="0"/>
                      <w:bCs w:val="0"/>
                      <w:color w:val="auto"/>
                      <w:sz w:val="21"/>
                      <w:szCs w:val="21"/>
                      <w:highlight w:val="none"/>
                      <w:lang w:eastAsia="zh-CN"/>
                    </w:rPr>
                    <w:t>生物质热水锅炉。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锅炉房建筑面积</w:t>
                  </w:r>
                  <w:r>
                    <w:rPr>
                      <w:rFonts w:hint="default" w:ascii="Times New Roman" w:hAnsi="Times New Roman" w:eastAsia="宋体" w:cs="Times New Roman"/>
                      <w:color w:val="auto"/>
                      <w:kern w:val="0"/>
                      <w:sz w:val="21"/>
                      <w:szCs w:val="21"/>
                      <w:highlight w:val="none"/>
                      <w:lang w:val="en-US" w:eastAsia="zh-CN"/>
                    </w:rPr>
                    <w:t>150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全封闭</w:t>
                  </w:r>
                  <w:r>
                    <w:rPr>
                      <w:rFonts w:hint="default" w:ascii="Times New Roman" w:hAnsi="Times New Roman" w:eastAsia="宋体" w:cs="Times New Roman"/>
                      <w:color w:val="auto"/>
                      <w:sz w:val="21"/>
                      <w:szCs w:val="21"/>
                      <w:highlight w:val="none"/>
                    </w:rPr>
                    <w:t>砖混结构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内设</w:t>
                  </w:r>
                  <w:r>
                    <w:rPr>
                      <w:rFonts w:hint="default"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1台</w:t>
                  </w:r>
                  <w:r>
                    <w:rPr>
                      <w:rFonts w:hint="eastAsia" w:ascii="Times New Roman" w:hAnsi="Times New Roman" w:eastAsia="宋体" w:cs="Times New Roman"/>
                      <w:color w:val="auto"/>
                      <w:sz w:val="21"/>
                      <w:szCs w:val="21"/>
                      <w:highlight w:val="none"/>
                      <w:lang w:val="en-US" w:eastAsia="zh-CN"/>
                    </w:rPr>
                    <w:t>7MW</w:t>
                  </w:r>
                  <w:r>
                    <w:rPr>
                      <w:rFonts w:hint="default" w:ascii="Times New Roman" w:hAnsi="Times New Roman" w:eastAsia="宋体" w:cs="Times New Roman"/>
                      <w:color w:val="auto"/>
                      <w:sz w:val="21"/>
                      <w:szCs w:val="21"/>
                      <w:highlight w:val="none"/>
                      <w:lang w:val="en-US" w:eastAsia="zh-CN"/>
                    </w:rPr>
                    <w:t>燃煤热水锅炉，以及配套1台多管旋风除尘器+1台布袋除尘器+1台钠碱法脱硫塔+</w:t>
                  </w: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40m</w:t>
                  </w:r>
                  <w:r>
                    <w:rPr>
                      <w:rFonts w:hint="default" w:ascii="Times New Roman" w:hAnsi="Times New Roman" w:eastAsia="宋体" w:cs="Times New Roman"/>
                      <w:color w:val="auto"/>
                      <w:sz w:val="21"/>
                      <w:szCs w:val="21"/>
                      <w:highlight w:val="none"/>
                      <w:lang w:eastAsia="zh-CN"/>
                    </w:rPr>
                    <w:t>高</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软水制备设施用房</w:t>
                  </w:r>
                </w:p>
              </w:tc>
              <w:tc>
                <w:tcPr>
                  <w:tcW w:w="23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软水制备设施用房建筑面积180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，全封闭砖混结构。内部布置1套软水制备系统；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软水制备设施用房建筑面积180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，全封闭砖混结构。内部布置一套软水制备系统；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燃料库</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燃料库</w:t>
                  </w:r>
                  <w:r>
                    <w:rPr>
                      <w:rFonts w:hint="default" w:ascii="Times New Roman" w:hAnsi="Times New Roman" w:eastAsia="宋体" w:cs="Times New Roman"/>
                      <w:color w:val="auto"/>
                      <w:sz w:val="21"/>
                      <w:szCs w:val="21"/>
                      <w:highlight w:val="none"/>
                      <w:lang w:val="en-US" w:eastAsia="zh-CN"/>
                    </w:rPr>
                    <w:t>建筑面积600m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全封闭</w:t>
                  </w:r>
                  <w:r>
                    <w:rPr>
                      <w:rFonts w:hint="default" w:ascii="Times New Roman" w:hAnsi="Times New Roman" w:eastAsia="宋体" w:cs="Times New Roman"/>
                      <w:color w:val="auto"/>
                      <w:sz w:val="21"/>
                      <w:szCs w:val="21"/>
                      <w:highlight w:val="none"/>
                      <w:lang w:val="en-US" w:eastAsia="zh-CN"/>
                    </w:rPr>
                    <w:t>钢</w:t>
                  </w:r>
                  <w:r>
                    <w:rPr>
                      <w:rFonts w:hint="default" w:ascii="Times New Roman" w:hAnsi="Times New Roman" w:eastAsia="宋体" w:cs="Times New Roman"/>
                      <w:color w:val="auto"/>
                      <w:sz w:val="21"/>
                      <w:szCs w:val="21"/>
                      <w:highlight w:val="none"/>
                    </w:rPr>
                    <w:t>结构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用于储存</w:t>
                  </w:r>
                  <w:r>
                    <w:rPr>
                      <w:rFonts w:hint="default" w:ascii="Times New Roman" w:hAnsi="Times New Roman" w:eastAsia="宋体" w:cs="Times New Roman"/>
                      <w:color w:val="auto"/>
                      <w:sz w:val="21"/>
                      <w:szCs w:val="21"/>
                      <w:highlight w:val="none"/>
                      <w:lang w:val="en-US" w:eastAsia="zh-CN"/>
                    </w:rPr>
                    <w:t>燃煤</w:t>
                  </w:r>
                  <w:r>
                    <w:rPr>
                      <w:rFonts w:hint="default" w:ascii="Times New Roman" w:hAnsi="Times New Roman" w:eastAsia="宋体" w:cs="Times New Roman"/>
                      <w:color w:val="auto"/>
                      <w:sz w:val="21"/>
                      <w:szCs w:val="21"/>
                      <w:highlight w:val="none"/>
                    </w:rPr>
                    <w:t>。最大储存量为</w:t>
                  </w:r>
                  <w:r>
                    <w:rPr>
                      <w:rFonts w:hint="default" w:ascii="Times New Roman" w:hAnsi="Times New Roman" w:eastAsia="宋体" w:cs="Times New Roman"/>
                      <w:color w:val="auto"/>
                      <w:sz w:val="21"/>
                      <w:szCs w:val="21"/>
                      <w:highlight w:val="none"/>
                      <w:lang w:val="en-US" w:eastAsia="zh-CN"/>
                    </w:rPr>
                    <w:t>722</w:t>
                  </w:r>
                  <w:r>
                    <w:rPr>
                      <w:rFonts w:hint="default" w:ascii="Times New Roman" w:hAnsi="Times New Roman" w:eastAsia="宋体" w:cs="Times New Roman"/>
                      <w:color w:val="auto"/>
                      <w:sz w:val="21"/>
                      <w:szCs w:val="21"/>
                      <w:highlight w:val="none"/>
                    </w:rPr>
                    <w:t>t，可满足1台</w:t>
                  </w:r>
                  <w:r>
                    <w:rPr>
                      <w:rFonts w:hint="eastAsia" w:ascii="Times New Roman" w:hAnsi="Times New Roman" w:eastAsia="宋体" w:cs="Times New Roman"/>
                      <w:color w:val="auto"/>
                      <w:sz w:val="21"/>
                      <w:szCs w:val="21"/>
                      <w:highlight w:val="none"/>
                      <w:lang w:val="en-US" w:eastAsia="zh-CN"/>
                    </w:rPr>
                    <w:t>7MW</w:t>
                  </w:r>
                  <w:r>
                    <w:rPr>
                      <w:rFonts w:hint="default" w:ascii="Times New Roman" w:hAnsi="Times New Roman" w:eastAsia="宋体" w:cs="Times New Roman"/>
                      <w:color w:val="auto"/>
                      <w:sz w:val="21"/>
                      <w:szCs w:val="21"/>
                      <w:highlight w:val="none"/>
                      <w:lang w:val="en-US" w:eastAsia="zh-CN"/>
                    </w:rPr>
                    <w:t>燃煤热水锅炉180</w:t>
                  </w:r>
                  <w:r>
                    <w:rPr>
                      <w:rFonts w:hint="default" w:ascii="Times New Roman" w:hAnsi="Times New Roman" w:eastAsia="宋体" w:cs="Times New Roman"/>
                      <w:color w:val="auto"/>
                      <w:sz w:val="21"/>
                      <w:szCs w:val="21"/>
                      <w:highlight w:val="none"/>
                    </w:rPr>
                    <w:t>天的</w:t>
                  </w:r>
                  <w:r>
                    <w:rPr>
                      <w:rFonts w:hint="default" w:ascii="Times New Roman" w:hAnsi="Times New Roman" w:eastAsia="宋体" w:cs="Times New Roman"/>
                      <w:color w:val="auto"/>
                      <w:sz w:val="21"/>
                      <w:szCs w:val="21"/>
                      <w:highlight w:val="none"/>
                      <w:lang w:val="en-US" w:eastAsia="zh-CN"/>
                    </w:rPr>
                    <w:t>燃煤</w:t>
                  </w:r>
                  <w:r>
                    <w:rPr>
                      <w:rFonts w:hint="default" w:ascii="Times New Roman" w:hAnsi="Times New Roman" w:eastAsia="宋体" w:cs="Times New Roman"/>
                      <w:color w:val="auto"/>
                      <w:sz w:val="21"/>
                      <w:szCs w:val="21"/>
                      <w:highlight w:val="none"/>
                    </w:rPr>
                    <w:t>消耗量。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扩建为1300m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燃料库</w:t>
                  </w:r>
                  <w:r>
                    <w:rPr>
                      <w:rFonts w:hint="default" w:ascii="Times New Roman" w:hAnsi="Times New Roman" w:eastAsia="宋体" w:cs="Times New Roman"/>
                      <w:color w:val="auto"/>
                      <w:sz w:val="21"/>
                      <w:szCs w:val="21"/>
                      <w:highlight w:val="none"/>
                      <w:lang w:val="en-US" w:eastAsia="zh-CN"/>
                    </w:rPr>
                    <w:t>建筑面积1300m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全封闭</w:t>
                  </w:r>
                  <w:r>
                    <w:rPr>
                      <w:rFonts w:hint="default" w:ascii="Times New Roman" w:hAnsi="Times New Roman" w:eastAsia="宋体" w:cs="Times New Roman"/>
                      <w:color w:val="auto"/>
                      <w:sz w:val="21"/>
                      <w:szCs w:val="21"/>
                      <w:highlight w:val="none"/>
                      <w:lang w:val="en-US" w:eastAsia="zh-CN"/>
                    </w:rPr>
                    <w:t>钢</w:t>
                  </w:r>
                  <w:r>
                    <w:rPr>
                      <w:rFonts w:hint="default" w:ascii="Times New Roman" w:hAnsi="Times New Roman" w:eastAsia="宋体" w:cs="Times New Roman"/>
                      <w:color w:val="auto"/>
                      <w:sz w:val="21"/>
                      <w:szCs w:val="21"/>
                      <w:highlight w:val="none"/>
                    </w:rPr>
                    <w:t>结构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用于储存</w:t>
                  </w:r>
                  <w:r>
                    <w:rPr>
                      <w:rFonts w:hint="default" w:ascii="Times New Roman" w:hAnsi="Times New Roman" w:eastAsia="宋体" w:cs="Times New Roman"/>
                      <w:color w:val="auto"/>
                      <w:sz w:val="21"/>
                      <w:szCs w:val="21"/>
                      <w:highlight w:val="none"/>
                      <w:lang w:val="en-US" w:eastAsia="zh-CN"/>
                    </w:rPr>
                    <w:t>生物质燃料</w:t>
                  </w:r>
                  <w:r>
                    <w:rPr>
                      <w:rFonts w:hint="default" w:ascii="Times New Roman" w:hAnsi="Times New Roman" w:eastAsia="宋体" w:cs="Times New Roman"/>
                      <w:color w:val="auto"/>
                      <w:sz w:val="21"/>
                      <w:szCs w:val="21"/>
                      <w:highlight w:val="none"/>
                    </w:rPr>
                    <w:t>。最大储存量为</w:t>
                  </w:r>
                  <w:r>
                    <w:rPr>
                      <w:rFonts w:hint="default" w:ascii="Times New Roman" w:hAnsi="Times New Roman" w:eastAsia="宋体" w:cs="Times New Roman"/>
                      <w:color w:val="auto"/>
                      <w:sz w:val="21"/>
                      <w:szCs w:val="21"/>
                      <w:highlight w:val="none"/>
                      <w:lang w:val="en-US" w:eastAsia="zh-CN"/>
                    </w:rPr>
                    <w:t>1640</w:t>
                  </w:r>
                  <w:r>
                    <w:rPr>
                      <w:rFonts w:hint="default" w:ascii="Times New Roman" w:hAnsi="Times New Roman" w:eastAsia="宋体" w:cs="Times New Roman"/>
                      <w:color w:val="auto"/>
                      <w:sz w:val="21"/>
                      <w:szCs w:val="21"/>
                      <w:highlight w:val="none"/>
                    </w:rPr>
                    <w:t>t，可满足1台</w:t>
                  </w:r>
                  <w:r>
                    <w:rPr>
                      <w:rFonts w:hint="eastAsia" w:ascii="Times New Roman" w:hAnsi="Times New Roman" w:eastAsia="宋体" w:cs="Times New Roman"/>
                      <w:color w:val="auto"/>
                      <w:sz w:val="21"/>
                      <w:szCs w:val="21"/>
                      <w:highlight w:val="none"/>
                      <w:lang w:val="en-US" w:eastAsia="zh-CN"/>
                    </w:rPr>
                    <w:t>7MW</w:t>
                  </w:r>
                  <w:r>
                    <w:rPr>
                      <w:rFonts w:hint="default" w:ascii="Times New Roman" w:hAnsi="Times New Roman" w:eastAsia="宋体" w:cs="Times New Roman"/>
                      <w:color w:val="auto"/>
                      <w:sz w:val="21"/>
                      <w:szCs w:val="21"/>
                      <w:highlight w:val="none"/>
                      <w:lang w:val="en-US" w:eastAsia="zh-CN"/>
                    </w:rPr>
                    <w:t>生物质热水锅炉180</w:t>
                  </w:r>
                  <w:r>
                    <w:rPr>
                      <w:rFonts w:hint="default" w:ascii="Times New Roman" w:hAnsi="Times New Roman" w:eastAsia="宋体" w:cs="Times New Roman"/>
                      <w:color w:val="auto"/>
                      <w:sz w:val="21"/>
                      <w:szCs w:val="21"/>
                      <w:highlight w:val="none"/>
                    </w:rPr>
                    <w:t>天的</w:t>
                  </w:r>
                  <w:r>
                    <w:rPr>
                      <w:rFonts w:hint="default" w:ascii="Times New Roman" w:hAnsi="Times New Roman" w:eastAsia="宋体" w:cs="Times New Roman"/>
                      <w:color w:val="auto"/>
                      <w:sz w:val="21"/>
                      <w:szCs w:val="21"/>
                      <w:highlight w:val="none"/>
                      <w:lang w:val="en-US" w:eastAsia="zh-CN"/>
                    </w:rPr>
                    <w:t>生物质燃料</w:t>
                  </w:r>
                  <w:r>
                    <w:rPr>
                      <w:rFonts w:hint="default" w:ascii="Times New Roman" w:hAnsi="Times New Roman" w:eastAsia="宋体" w:cs="Times New Roman"/>
                      <w:color w:val="auto"/>
                      <w:sz w:val="21"/>
                      <w:szCs w:val="21"/>
                      <w:highlight w:val="none"/>
                    </w:rPr>
                    <w:t>消耗量。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地面采用混凝土硬化</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灰渣间</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灰渣间</w:t>
                  </w:r>
                  <w:r>
                    <w:rPr>
                      <w:rFonts w:hint="default" w:ascii="Times New Roman" w:hAnsi="Times New Roman" w:eastAsia="宋体" w:cs="Times New Roman"/>
                      <w:color w:val="auto"/>
                      <w:sz w:val="21"/>
                      <w:szCs w:val="21"/>
                      <w:highlight w:val="none"/>
                      <w:lang w:val="en-US" w:eastAsia="zh-CN"/>
                    </w:rPr>
                    <w:t>建筑面积200m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，全封闭钢结构。</w:t>
                  </w:r>
                  <w:r>
                    <w:rPr>
                      <w:rFonts w:hint="default" w:ascii="Times New Roman" w:hAnsi="Times New Roman" w:eastAsia="宋体" w:cs="Times New Roman"/>
                      <w:color w:val="auto"/>
                      <w:sz w:val="21"/>
                      <w:szCs w:val="21"/>
                      <w:highlight w:val="none"/>
                    </w:rPr>
                    <w:t>用于储存</w:t>
                  </w: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热水锅炉产生的炉渣、</w:t>
                  </w:r>
                  <w:r>
                    <w:rPr>
                      <w:rFonts w:hint="default" w:ascii="Times New Roman" w:hAnsi="Times New Roman" w:eastAsia="宋体" w:cs="Times New Roman"/>
                      <w:color w:val="auto"/>
                      <w:sz w:val="21"/>
                      <w:szCs w:val="21"/>
                      <w:highlight w:val="none"/>
                      <w:lang w:val="en-US" w:eastAsia="zh-CN"/>
                    </w:rPr>
                    <w:t>多管旋风除尘器+布袋除尘器收集的除尘灰；脱硫塔</w:t>
                  </w:r>
                  <w:r>
                    <w:rPr>
                      <w:rFonts w:hint="default" w:ascii="Times New Roman" w:hAnsi="Times New Roman" w:eastAsia="宋体" w:cs="Times New Roman"/>
                      <w:color w:val="auto"/>
                      <w:sz w:val="21"/>
                      <w:szCs w:val="21"/>
                      <w:highlight w:val="none"/>
                    </w:rPr>
                    <w:t>收集的</w:t>
                  </w:r>
                  <w:r>
                    <w:rPr>
                      <w:rFonts w:hint="default" w:ascii="Times New Roman" w:hAnsi="Times New Roman" w:eastAsia="宋体" w:cs="Times New Roman"/>
                      <w:color w:val="auto"/>
                      <w:sz w:val="21"/>
                      <w:szCs w:val="21"/>
                      <w:highlight w:val="none"/>
                      <w:lang w:eastAsia="zh-CN"/>
                    </w:rPr>
                    <w:t>脱硫渣；</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地面采用</w:t>
                  </w:r>
                  <w:r>
                    <w:rPr>
                      <w:rFonts w:hint="default" w:ascii="Times New Roman" w:hAnsi="Times New Roman" w:eastAsia="宋体" w:cs="Times New Roman"/>
                      <w:color w:val="auto"/>
                      <w:kern w:val="0"/>
                      <w:sz w:val="21"/>
                      <w:szCs w:val="21"/>
                      <w:highlight w:val="none"/>
                      <w:lang w:eastAsia="zh-CN"/>
                    </w:rPr>
                    <w:t>抗渗</w:t>
                  </w:r>
                  <w:r>
                    <w:rPr>
                      <w:rFonts w:hint="default" w:ascii="Times New Roman" w:hAnsi="Times New Roman" w:eastAsia="宋体" w:cs="Times New Roman"/>
                      <w:color w:val="auto"/>
                      <w:kern w:val="0"/>
                      <w:sz w:val="21"/>
                      <w:szCs w:val="21"/>
                      <w:highlight w:val="none"/>
                    </w:rPr>
                    <w:t>混凝土</w:t>
                  </w:r>
                  <w:r>
                    <w:rPr>
                      <w:rFonts w:hint="default" w:ascii="Times New Roman" w:hAnsi="Times New Roman" w:eastAsia="宋体" w:cs="Times New Roman"/>
                      <w:color w:val="auto"/>
                      <w:kern w:val="0"/>
                      <w:sz w:val="21"/>
                      <w:szCs w:val="21"/>
                      <w:highlight w:val="none"/>
                      <w:lang w:eastAsia="zh-CN"/>
                    </w:rPr>
                    <w:t>硬化措施</w:t>
                  </w:r>
                  <w:r>
                    <w:rPr>
                      <w:rFonts w:hint="default" w:ascii="Times New Roman" w:hAnsi="Times New Roman" w:eastAsia="宋体" w:cs="Times New Roman"/>
                      <w:color w:val="auto"/>
                      <w:kern w:val="0"/>
                      <w:sz w:val="21"/>
                      <w:szCs w:val="21"/>
                      <w:highlight w:val="none"/>
                    </w:rPr>
                    <w:t>，渗透系数≤10</w:t>
                  </w:r>
                  <w:r>
                    <w:rPr>
                      <w:rFonts w:hint="default" w:ascii="Times New Roman" w:hAnsi="Times New Roman" w:eastAsia="宋体" w:cs="Times New Roman"/>
                      <w:color w:val="auto"/>
                      <w:kern w:val="0"/>
                      <w:sz w:val="21"/>
                      <w:szCs w:val="21"/>
                      <w:highlight w:val="none"/>
                      <w:vertAlign w:val="superscript"/>
                    </w:rPr>
                    <w:t>-7</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扩建为400m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灰渣间</w:t>
                  </w:r>
                  <w:r>
                    <w:rPr>
                      <w:rFonts w:hint="default" w:ascii="Times New Roman" w:hAnsi="Times New Roman" w:eastAsia="宋体" w:cs="Times New Roman"/>
                      <w:color w:val="auto"/>
                      <w:sz w:val="21"/>
                      <w:szCs w:val="21"/>
                      <w:highlight w:val="none"/>
                      <w:lang w:val="en-US" w:eastAsia="zh-CN"/>
                    </w:rPr>
                    <w:t>建筑面积400m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，全封闭钢结构。</w:t>
                  </w:r>
                  <w:r>
                    <w:rPr>
                      <w:rFonts w:hint="default" w:ascii="Times New Roman" w:hAnsi="Times New Roman" w:eastAsia="宋体" w:cs="Times New Roman"/>
                      <w:color w:val="auto"/>
                      <w:sz w:val="21"/>
                      <w:szCs w:val="21"/>
                      <w:highlight w:val="none"/>
                    </w:rPr>
                    <w:t>用于储存</w:t>
                  </w:r>
                  <w:r>
                    <w:rPr>
                      <w:rFonts w:hint="default" w:ascii="Times New Roman" w:hAnsi="Times New Roman" w:eastAsia="宋体"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rPr>
                    <w:t>热水锅炉产生的炉渣、</w:t>
                  </w:r>
                  <w:r>
                    <w:rPr>
                      <w:rFonts w:hint="default" w:ascii="Times New Roman" w:hAnsi="Times New Roman" w:eastAsia="宋体" w:cs="Times New Roman"/>
                      <w:color w:val="auto"/>
                      <w:sz w:val="21"/>
                      <w:szCs w:val="21"/>
                      <w:highlight w:val="none"/>
                      <w:lang w:val="en-US" w:eastAsia="zh-CN"/>
                    </w:rPr>
                    <w:t>多管旋风除尘器+布袋除尘器收集的除尘灰；脱硫塔</w:t>
                  </w:r>
                  <w:r>
                    <w:rPr>
                      <w:rFonts w:hint="default" w:ascii="Times New Roman" w:hAnsi="Times New Roman" w:eastAsia="宋体" w:cs="Times New Roman"/>
                      <w:color w:val="auto"/>
                      <w:sz w:val="21"/>
                      <w:szCs w:val="21"/>
                      <w:highlight w:val="none"/>
                    </w:rPr>
                    <w:t>收集的</w:t>
                  </w:r>
                  <w:r>
                    <w:rPr>
                      <w:rFonts w:hint="default" w:ascii="Times New Roman" w:hAnsi="Times New Roman" w:eastAsia="宋体" w:cs="Times New Roman"/>
                      <w:color w:val="auto"/>
                      <w:sz w:val="21"/>
                      <w:szCs w:val="21"/>
                      <w:highlight w:val="none"/>
                      <w:lang w:eastAsia="zh-CN"/>
                    </w:rPr>
                    <w:t>脱硫渣；</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地面采用</w:t>
                  </w:r>
                  <w:r>
                    <w:rPr>
                      <w:rFonts w:hint="default" w:ascii="Times New Roman" w:hAnsi="Times New Roman" w:eastAsia="宋体" w:cs="Times New Roman"/>
                      <w:color w:val="auto"/>
                      <w:kern w:val="0"/>
                      <w:sz w:val="21"/>
                      <w:szCs w:val="21"/>
                      <w:highlight w:val="none"/>
                      <w:lang w:eastAsia="zh-CN"/>
                    </w:rPr>
                    <w:t>抗渗</w:t>
                  </w:r>
                  <w:r>
                    <w:rPr>
                      <w:rFonts w:hint="default" w:ascii="Times New Roman" w:hAnsi="Times New Roman" w:eastAsia="宋体" w:cs="Times New Roman"/>
                      <w:color w:val="auto"/>
                      <w:kern w:val="0"/>
                      <w:sz w:val="21"/>
                      <w:szCs w:val="21"/>
                      <w:highlight w:val="none"/>
                    </w:rPr>
                    <w:t>混凝土</w:t>
                  </w:r>
                  <w:r>
                    <w:rPr>
                      <w:rFonts w:hint="default" w:ascii="Times New Roman" w:hAnsi="Times New Roman" w:eastAsia="宋体" w:cs="Times New Roman"/>
                      <w:color w:val="auto"/>
                      <w:kern w:val="0"/>
                      <w:sz w:val="21"/>
                      <w:szCs w:val="21"/>
                      <w:highlight w:val="none"/>
                      <w:lang w:eastAsia="zh-CN"/>
                    </w:rPr>
                    <w:t>硬化措施</w:t>
                  </w:r>
                  <w:r>
                    <w:rPr>
                      <w:rFonts w:hint="default" w:ascii="Times New Roman" w:hAnsi="Times New Roman" w:eastAsia="宋体" w:cs="Times New Roman"/>
                      <w:color w:val="auto"/>
                      <w:kern w:val="0"/>
                      <w:sz w:val="21"/>
                      <w:szCs w:val="21"/>
                      <w:highlight w:val="none"/>
                    </w:rPr>
                    <w:t>，渗透系数≤10</w:t>
                  </w:r>
                  <w:r>
                    <w:rPr>
                      <w:rFonts w:hint="default" w:ascii="Times New Roman" w:hAnsi="Times New Roman" w:eastAsia="宋体" w:cs="Times New Roman"/>
                      <w:color w:val="auto"/>
                      <w:kern w:val="0"/>
                      <w:sz w:val="21"/>
                      <w:szCs w:val="21"/>
                      <w:highlight w:val="none"/>
                      <w:vertAlign w:val="superscript"/>
                    </w:rPr>
                    <w:t>-7</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6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本项目供水来自厂区现有</w:t>
                  </w:r>
                  <w:r>
                    <w:rPr>
                      <w:rFonts w:hint="default" w:ascii="Times New Roman" w:hAnsi="Times New Roman" w:eastAsia="宋体" w:cs="Times New Roman"/>
                      <w:color w:val="auto"/>
                      <w:sz w:val="21"/>
                      <w:szCs w:val="21"/>
                      <w:highlight w:val="none"/>
                      <w:lang w:eastAsia="zh-CN"/>
                    </w:rPr>
                    <w:t>自来水管网</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本项目供水来自厂区现有</w:t>
                  </w:r>
                  <w:r>
                    <w:rPr>
                      <w:rFonts w:hint="default" w:ascii="Times New Roman" w:hAnsi="Times New Roman" w:eastAsia="宋体" w:cs="Times New Roman"/>
                      <w:color w:val="auto"/>
                      <w:sz w:val="21"/>
                      <w:szCs w:val="21"/>
                      <w:highlight w:val="none"/>
                      <w:lang w:eastAsia="zh-CN"/>
                    </w:rPr>
                    <w:t>自来水管网</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①软水制备废水和锅炉排污水用于</w:t>
                  </w:r>
                  <w:r>
                    <w:rPr>
                      <w:rFonts w:hint="default" w:ascii="Times New Roman" w:hAnsi="Times New Roman" w:eastAsia="宋体" w:cs="Times New Roman"/>
                      <w:color w:val="auto"/>
                      <w:sz w:val="21"/>
                      <w:szCs w:val="21"/>
                      <w:highlight w:val="none"/>
                      <w:lang w:eastAsia="zh-CN"/>
                    </w:rPr>
                    <w:t>灰渣间</w:t>
                  </w:r>
                  <w:r>
                    <w:rPr>
                      <w:rFonts w:hint="default" w:ascii="Times New Roman" w:hAnsi="Times New Roman" w:eastAsia="宋体" w:cs="Times New Roman"/>
                      <w:color w:val="auto"/>
                      <w:sz w:val="21"/>
                      <w:szCs w:val="21"/>
                      <w:highlight w:val="none"/>
                    </w:rPr>
                    <w:t>抑尘、出渣机补水、空地降尘洒水，不外排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②出渣机废水循环使用，定期补水，不外排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③灰渣间抑尘用水</w:t>
                  </w:r>
                  <w:r>
                    <w:rPr>
                      <w:rFonts w:hint="default" w:ascii="Times New Roman" w:hAnsi="Times New Roman" w:eastAsia="宋体" w:cs="Times New Roman"/>
                      <w:color w:val="auto"/>
                      <w:sz w:val="21"/>
                      <w:szCs w:val="21"/>
                      <w:highlight w:val="none"/>
                    </w:rPr>
                    <w:t>全部被灰渣吸收，通过自然蒸发，无废水产生</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④</w:t>
                  </w: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包括二级沉淀池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总容积12m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）和清水池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容积3m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eastAsia="zh-CN"/>
                    </w:rPr>
                    <w:t>脱硫塔</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val="en-US" w:eastAsia="zh-CN"/>
                    </w:rPr>
                    <w:t>脱硫</w:t>
                  </w: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经沉淀后</w:t>
                  </w:r>
                  <w:r>
                    <w:rPr>
                      <w:rFonts w:hint="default" w:ascii="Times New Roman" w:hAnsi="Times New Roman" w:eastAsia="宋体" w:cs="Times New Roman"/>
                      <w:color w:val="auto"/>
                      <w:sz w:val="21"/>
                      <w:szCs w:val="21"/>
                      <w:highlight w:val="none"/>
                    </w:rPr>
                    <w:t>循环使用，不外排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⑤生活污水排入防渗化粪池内，定期清运至乌拉特前旗污水处理厂处理。</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①软水制备废水和锅炉排污水用于</w:t>
                  </w:r>
                  <w:r>
                    <w:rPr>
                      <w:rFonts w:hint="default" w:ascii="Times New Roman" w:hAnsi="Times New Roman" w:eastAsia="宋体" w:cs="Times New Roman"/>
                      <w:color w:val="auto"/>
                      <w:sz w:val="21"/>
                      <w:szCs w:val="21"/>
                      <w:highlight w:val="none"/>
                      <w:lang w:eastAsia="zh-CN"/>
                    </w:rPr>
                    <w:t>灰渣间</w:t>
                  </w:r>
                  <w:r>
                    <w:rPr>
                      <w:rFonts w:hint="default" w:ascii="Times New Roman" w:hAnsi="Times New Roman" w:eastAsia="宋体" w:cs="Times New Roman"/>
                      <w:color w:val="auto"/>
                      <w:sz w:val="21"/>
                      <w:szCs w:val="21"/>
                      <w:highlight w:val="none"/>
                    </w:rPr>
                    <w:t>抑尘、出渣机补水、空地降尘洒水，不外排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②出渣机废水循环使用，定期补水，不外排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③灰渣间抑尘用水</w:t>
                  </w:r>
                  <w:r>
                    <w:rPr>
                      <w:rFonts w:hint="default" w:ascii="Times New Roman" w:hAnsi="Times New Roman" w:eastAsia="宋体" w:cs="Times New Roman"/>
                      <w:color w:val="auto"/>
                      <w:sz w:val="21"/>
                      <w:szCs w:val="21"/>
                      <w:highlight w:val="none"/>
                    </w:rPr>
                    <w:t>全部被灰渣吸收，通过自然蒸发，无废水产生</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④</w:t>
                  </w: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包括二级沉淀池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总容积12m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）和清水池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容积3m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eastAsia="zh-CN"/>
                    </w:rPr>
                    <w:t>脱硫塔内脱硫废水</w:t>
                  </w:r>
                  <w:r>
                    <w:rPr>
                      <w:rFonts w:hint="default" w:ascii="Times New Roman" w:hAnsi="Times New Roman" w:eastAsia="宋体" w:cs="Times New Roman"/>
                      <w:color w:val="auto"/>
                      <w:sz w:val="21"/>
                      <w:szCs w:val="21"/>
                      <w:highlight w:val="none"/>
                      <w:lang w:val="en-US" w:eastAsia="zh-CN"/>
                    </w:rPr>
                    <w:t>经沉淀后</w:t>
                  </w:r>
                  <w:r>
                    <w:rPr>
                      <w:rFonts w:hint="default" w:ascii="Times New Roman" w:hAnsi="Times New Roman" w:eastAsia="宋体" w:cs="Times New Roman"/>
                      <w:color w:val="auto"/>
                      <w:sz w:val="21"/>
                      <w:szCs w:val="21"/>
                      <w:highlight w:val="none"/>
                    </w:rPr>
                    <w:t>循环使用，不外排</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⑤生活污水排入防渗化粪池内，定期清运至乌拉特前旗污水处理厂处理。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由厂区</w:t>
                  </w:r>
                  <w:r>
                    <w:rPr>
                      <w:rFonts w:hint="default" w:ascii="Times New Roman" w:hAnsi="Times New Roman" w:eastAsia="宋体" w:cs="Times New Roman"/>
                      <w:color w:val="auto"/>
                      <w:sz w:val="21"/>
                      <w:szCs w:val="21"/>
                      <w:highlight w:val="none"/>
                      <w:lang w:eastAsia="zh-CN"/>
                    </w:rPr>
                    <w:t>现有供电系统提供。</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由厂区</w:t>
                  </w:r>
                  <w:r>
                    <w:rPr>
                      <w:rFonts w:hint="default" w:ascii="Times New Roman" w:hAnsi="Times New Roman" w:eastAsia="宋体" w:cs="Times New Roman"/>
                      <w:color w:val="auto"/>
                      <w:sz w:val="21"/>
                      <w:szCs w:val="21"/>
                      <w:highlight w:val="none"/>
                      <w:lang w:eastAsia="zh-CN"/>
                    </w:rPr>
                    <w:t>现有供电系统提供。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657" w:type="dxa"/>
                  <w:vMerge w:val="restar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热水锅炉产生的废气经1台</w:t>
                  </w:r>
                  <w:r>
                    <w:rPr>
                      <w:rFonts w:hint="default" w:ascii="Times New Roman" w:hAnsi="Times New Roman" w:eastAsia="宋体" w:cs="Times New Roman"/>
                      <w:color w:val="auto"/>
                      <w:sz w:val="21"/>
                      <w:szCs w:val="21"/>
                      <w:highlight w:val="none"/>
                      <w:lang w:val="en-US" w:eastAsia="zh-CN"/>
                    </w:rPr>
                    <w:t>多管旋风除尘器+1台布袋除尘器+</w:t>
                  </w:r>
                  <w:r>
                    <w:rPr>
                      <w:rFonts w:hint="default" w:ascii="Times New Roman" w:hAnsi="Times New Roman" w:eastAsia="宋体" w:cs="Times New Roman"/>
                      <w:color w:val="auto"/>
                      <w:sz w:val="21"/>
                      <w:szCs w:val="21"/>
                      <w:highlight w:val="none"/>
                    </w:rPr>
                    <w:t>1台</w:t>
                  </w:r>
                  <w:r>
                    <w:rPr>
                      <w:rFonts w:hint="default" w:ascii="Times New Roman" w:hAnsi="Times New Roman" w:eastAsia="宋体" w:cs="Times New Roman"/>
                      <w:color w:val="auto"/>
                      <w:sz w:val="21"/>
                      <w:szCs w:val="21"/>
                      <w:highlight w:val="none"/>
                      <w:lang w:eastAsia="zh-CN"/>
                    </w:rPr>
                    <w:t>钠碱法脱硫塔（钠碱法）</w:t>
                  </w:r>
                  <w:r>
                    <w:rPr>
                      <w:rFonts w:hint="default" w:ascii="Times New Roman" w:hAnsi="Times New Roman" w:eastAsia="宋体" w:cs="Times New Roman"/>
                      <w:color w:val="auto"/>
                      <w:sz w:val="21"/>
                      <w:szCs w:val="21"/>
                      <w:highlight w:val="none"/>
                    </w:rPr>
                    <w:t>除尘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脱硫</w:t>
                  </w:r>
                  <w:r>
                    <w:rPr>
                      <w:rFonts w:hint="default" w:ascii="Times New Roman" w:hAnsi="Times New Roman" w:eastAsia="宋体" w:cs="Times New Roman"/>
                      <w:color w:val="auto"/>
                      <w:sz w:val="21"/>
                      <w:szCs w:val="21"/>
                      <w:highlight w:val="none"/>
                    </w:rPr>
                    <w:t>处理后，由1根高</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m排气筒排放。</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rPr>
                    <w:t>热水锅炉产生的废气经1台</w:t>
                  </w:r>
                  <w:r>
                    <w:rPr>
                      <w:rFonts w:hint="default" w:ascii="Times New Roman" w:hAnsi="Times New Roman" w:eastAsia="宋体" w:cs="Times New Roman"/>
                      <w:color w:val="auto"/>
                      <w:sz w:val="21"/>
                      <w:szCs w:val="21"/>
                      <w:highlight w:val="none"/>
                      <w:lang w:val="en-US" w:eastAsia="zh-CN"/>
                    </w:rPr>
                    <w:t>多管旋风除尘器+1台布袋除尘器+</w:t>
                  </w:r>
                  <w:r>
                    <w:rPr>
                      <w:rFonts w:hint="default" w:ascii="Times New Roman" w:hAnsi="Times New Roman" w:eastAsia="宋体" w:cs="Times New Roman"/>
                      <w:color w:val="auto"/>
                      <w:sz w:val="21"/>
                      <w:szCs w:val="21"/>
                      <w:highlight w:val="none"/>
                    </w:rPr>
                    <w:t>1台</w:t>
                  </w:r>
                  <w:r>
                    <w:rPr>
                      <w:rFonts w:hint="default" w:ascii="Times New Roman" w:hAnsi="Times New Roman" w:eastAsia="宋体" w:cs="Times New Roman"/>
                      <w:color w:val="auto"/>
                      <w:sz w:val="21"/>
                      <w:szCs w:val="21"/>
                      <w:highlight w:val="none"/>
                      <w:lang w:eastAsia="zh-CN"/>
                    </w:rPr>
                    <w:t>钠碱法脱硫塔（钠碱法）</w:t>
                  </w:r>
                  <w:r>
                    <w:rPr>
                      <w:rFonts w:hint="default" w:ascii="Times New Roman" w:hAnsi="Times New Roman" w:eastAsia="宋体" w:cs="Times New Roman"/>
                      <w:color w:val="auto"/>
                      <w:sz w:val="21"/>
                      <w:szCs w:val="21"/>
                      <w:highlight w:val="none"/>
                    </w:rPr>
                    <w:t>除尘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脱硫</w:t>
                  </w:r>
                  <w:r>
                    <w:rPr>
                      <w:rFonts w:hint="default" w:ascii="Times New Roman" w:hAnsi="Times New Roman" w:eastAsia="宋体" w:cs="Times New Roman"/>
                      <w:color w:val="auto"/>
                      <w:sz w:val="21"/>
                      <w:szCs w:val="21"/>
                      <w:highlight w:val="none"/>
                    </w:rPr>
                    <w:t>处理后，由1根高</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热水锅炉出渣采用湿出渣方式，出渣过程无粉尘排放。</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rPr>
                    <w:t>热水锅炉出渣采用湿出渣方式，出渣过程无粉尘排放。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燃煤和</w:t>
                  </w:r>
                  <w:r>
                    <w:rPr>
                      <w:rFonts w:hint="default" w:ascii="Times New Roman" w:hAnsi="Times New Roman" w:eastAsia="宋体" w:cs="Times New Roman"/>
                      <w:color w:val="auto"/>
                      <w:sz w:val="21"/>
                      <w:szCs w:val="21"/>
                      <w:highlight w:val="none"/>
                    </w:rPr>
                    <w:t>灰渣卸载</w:t>
                  </w:r>
                  <w:r>
                    <w:rPr>
                      <w:rFonts w:hint="default" w:ascii="Times New Roman" w:hAnsi="Times New Roman" w:eastAsia="宋体" w:cs="Times New Roman"/>
                      <w:color w:val="auto"/>
                      <w:sz w:val="21"/>
                      <w:szCs w:val="21"/>
                      <w:highlight w:val="none"/>
                      <w:lang w:eastAsia="zh-CN"/>
                    </w:rPr>
                    <w:t>、储存</w:t>
                  </w:r>
                  <w:r>
                    <w:rPr>
                      <w:rFonts w:hint="default" w:ascii="Times New Roman" w:hAnsi="Times New Roman" w:eastAsia="宋体" w:cs="Times New Roman"/>
                      <w:color w:val="auto"/>
                      <w:sz w:val="21"/>
                      <w:szCs w:val="21"/>
                      <w:highlight w:val="none"/>
                    </w:rPr>
                    <w:t>过程中产生的颗粒物经封闭</w:t>
                  </w:r>
                  <w:r>
                    <w:rPr>
                      <w:rFonts w:hint="default" w:ascii="Times New Roman" w:hAnsi="Times New Roman" w:eastAsia="宋体" w:cs="Times New Roman"/>
                      <w:color w:val="auto"/>
                      <w:sz w:val="21"/>
                      <w:szCs w:val="21"/>
                      <w:highlight w:val="none"/>
                      <w:lang w:val="en-US" w:eastAsia="zh-CN"/>
                    </w:rPr>
                    <w:t>库房</w:t>
                  </w:r>
                  <w:r>
                    <w:rPr>
                      <w:rFonts w:hint="default" w:ascii="Times New Roman" w:hAnsi="Times New Roman" w:eastAsia="宋体" w:cs="Times New Roman"/>
                      <w:color w:val="auto"/>
                      <w:sz w:val="21"/>
                      <w:szCs w:val="21"/>
                      <w:highlight w:val="none"/>
                    </w:rPr>
                    <w:t>沉降和洒水抑尘后，以无组织形式排放。</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灰渣卸载</w:t>
                  </w:r>
                  <w:r>
                    <w:rPr>
                      <w:rFonts w:hint="default" w:ascii="Times New Roman" w:hAnsi="Times New Roman" w:eastAsia="宋体" w:cs="Times New Roman"/>
                      <w:color w:val="auto"/>
                      <w:sz w:val="21"/>
                      <w:szCs w:val="21"/>
                      <w:highlight w:val="none"/>
                      <w:lang w:eastAsia="zh-CN"/>
                    </w:rPr>
                    <w:t>、储存</w:t>
                  </w:r>
                  <w:r>
                    <w:rPr>
                      <w:rFonts w:hint="default" w:ascii="Times New Roman" w:hAnsi="Times New Roman" w:eastAsia="宋体" w:cs="Times New Roman"/>
                      <w:color w:val="auto"/>
                      <w:sz w:val="21"/>
                      <w:szCs w:val="21"/>
                      <w:highlight w:val="none"/>
                    </w:rPr>
                    <w:t>过程中产生的颗粒物经封闭灰渣间沉降和洒水抑尘后，以无组织形式排放。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restar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软水制备废水和锅炉排污水用于</w:t>
                  </w:r>
                  <w:r>
                    <w:rPr>
                      <w:rFonts w:hint="default" w:ascii="Times New Roman" w:hAnsi="Times New Roman" w:eastAsia="宋体" w:cs="Times New Roman"/>
                      <w:color w:val="auto"/>
                      <w:sz w:val="21"/>
                      <w:szCs w:val="21"/>
                      <w:highlight w:val="none"/>
                      <w:lang w:eastAsia="zh-CN"/>
                    </w:rPr>
                    <w:t>灰渣间</w:t>
                  </w:r>
                  <w:r>
                    <w:rPr>
                      <w:rFonts w:hint="default" w:ascii="Times New Roman" w:hAnsi="Times New Roman" w:eastAsia="宋体" w:cs="Times New Roman"/>
                      <w:color w:val="auto"/>
                      <w:sz w:val="21"/>
                      <w:szCs w:val="21"/>
                      <w:highlight w:val="none"/>
                    </w:rPr>
                    <w:t>抑尘、出渣机补水、空地降尘洒水，不外排</w:t>
                  </w:r>
                  <w:r>
                    <w:rPr>
                      <w:rFonts w:hint="default" w:ascii="Times New Roman" w:hAnsi="Times New Roman" w:eastAsia="宋体" w:cs="Times New Roman"/>
                      <w:color w:val="auto"/>
                      <w:sz w:val="21"/>
                      <w:szCs w:val="21"/>
                      <w:highlight w:val="none"/>
                      <w:lang w:eastAsia="zh-CN"/>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软水制备废水和锅炉排污水用于</w:t>
                  </w:r>
                  <w:r>
                    <w:rPr>
                      <w:rFonts w:hint="default" w:ascii="Times New Roman" w:hAnsi="Times New Roman" w:eastAsia="宋体" w:cs="Times New Roman"/>
                      <w:color w:val="auto"/>
                      <w:sz w:val="21"/>
                      <w:szCs w:val="21"/>
                      <w:highlight w:val="none"/>
                      <w:lang w:eastAsia="zh-CN"/>
                    </w:rPr>
                    <w:t>灰渣间</w:t>
                  </w:r>
                  <w:r>
                    <w:rPr>
                      <w:rFonts w:hint="default" w:ascii="Times New Roman" w:hAnsi="Times New Roman" w:eastAsia="宋体" w:cs="Times New Roman"/>
                      <w:color w:val="auto"/>
                      <w:sz w:val="21"/>
                      <w:szCs w:val="21"/>
                      <w:highlight w:val="none"/>
                    </w:rPr>
                    <w:t>抑尘、出渣机补水、空地降尘洒水，不外排</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出渣机废水循环使用，定期补水，不外排</w:t>
                  </w:r>
                  <w:r>
                    <w:rPr>
                      <w:rFonts w:hint="default" w:ascii="Times New Roman" w:hAnsi="Times New Roman" w:eastAsia="宋体" w:cs="Times New Roman"/>
                      <w:color w:val="auto"/>
                      <w:sz w:val="21"/>
                      <w:szCs w:val="21"/>
                      <w:highlight w:val="none"/>
                      <w:lang w:eastAsia="zh-CN"/>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出渣机废水循环使用，定期补水，不外排</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灰渣间抑尘用水</w:t>
                  </w:r>
                  <w:r>
                    <w:rPr>
                      <w:rFonts w:hint="default" w:ascii="Times New Roman" w:hAnsi="Times New Roman" w:eastAsia="宋体" w:cs="Times New Roman"/>
                      <w:color w:val="auto"/>
                      <w:sz w:val="21"/>
                      <w:szCs w:val="21"/>
                      <w:highlight w:val="none"/>
                    </w:rPr>
                    <w:t>全部被灰渣吸收，通过自然蒸发，无废水产生</w:t>
                  </w:r>
                  <w:r>
                    <w:rPr>
                      <w:rFonts w:hint="default" w:ascii="Times New Roman" w:hAnsi="Times New Roman" w:eastAsia="宋体" w:cs="Times New Roman"/>
                      <w:color w:val="auto"/>
                      <w:sz w:val="21"/>
                      <w:szCs w:val="21"/>
                      <w:highlight w:val="none"/>
                      <w:lang w:eastAsia="zh-CN"/>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灰渣间抑尘用水</w:t>
                  </w:r>
                  <w:r>
                    <w:rPr>
                      <w:rFonts w:hint="default" w:ascii="Times New Roman" w:hAnsi="Times New Roman" w:eastAsia="宋体" w:cs="Times New Roman"/>
                      <w:color w:val="auto"/>
                      <w:sz w:val="21"/>
                      <w:szCs w:val="21"/>
                      <w:highlight w:val="none"/>
                    </w:rPr>
                    <w:t>全部被灰渣吸收，通过自然蒸发，无废水产生</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包括二级沉淀池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总容积12m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）和清水池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容积3m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eastAsia="zh-CN"/>
                    </w:rPr>
                    <w:t>脱硫塔内脱硫废水</w:t>
                  </w:r>
                  <w:r>
                    <w:rPr>
                      <w:rFonts w:hint="default" w:ascii="Times New Roman" w:hAnsi="Times New Roman" w:eastAsia="宋体" w:cs="Times New Roman"/>
                      <w:color w:val="auto"/>
                      <w:sz w:val="21"/>
                      <w:szCs w:val="21"/>
                      <w:highlight w:val="none"/>
                      <w:lang w:val="en-US" w:eastAsia="zh-CN"/>
                    </w:rPr>
                    <w:t>经沉淀后</w:t>
                  </w:r>
                  <w:r>
                    <w:rPr>
                      <w:rFonts w:hint="default" w:ascii="Times New Roman" w:hAnsi="Times New Roman" w:eastAsia="宋体" w:cs="Times New Roman"/>
                      <w:color w:val="auto"/>
                      <w:sz w:val="21"/>
                      <w:szCs w:val="21"/>
                      <w:highlight w:val="none"/>
                    </w:rPr>
                    <w:t>循环使用，不外排</w:t>
                  </w:r>
                  <w:r>
                    <w:rPr>
                      <w:rFonts w:hint="default" w:ascii="Times New Roman" w:hAnsi="Times New Roman" w:eastAsia="宋体" w:cs="Times New Roman"/>
                      <w:color w:val="auto"/>
                      <w:sz w:val="21"/>
                      <w:szCs w:val="21"/>
                      <w:highlight w:val="none"/>
                      <w:lang w:eastAsia="zh-CN"/>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包括二级沉淀池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总容积12m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）和清水池</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容积3m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eastAsia="zh-CN"/>
                    </w:rPr>
                    <w:t>脱硫塔内脱硫废水</w:t>
                  </w:r>
                  <w:r>
                    <w:rPr>
                      <w:rFonts w:hint="default" w:ascii="Times New Roman" w:hAnsi="Times New Roman" w:eastAsia="宋体" w:cs="Times New Roman"/>
                      <w:color w:val="auto"/>
                      <w:sz w:val="21"/>
                      <w:szCs w:val="21"/>
                      <w:highlight w:val="none"/>
                      <w:lang w:val="en-US" w:eastAsia="zh-CN"/>
                    </w:rPr>
                    <w:t>经沉淀后</w:t>
                  </w:r>
                  <w:r>
                    <w:rPr>
                      <w:rFonts w:hint="default" w:ascii="Times New Roman" w:hAnsi="Times New Roman" w:eastAsia="宋体" w:cs="Times New Roman"/>
                      <w:color w:val="auto"/>
                      <w:sz w:val="21"/>
                      <w:szCs w:val="21"/>
                      <w:highlight w:val="none"/>
                    </w:rPr>
                    <w:t>循环使用，不外排</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6"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生活污水排入防渗化粪池内，定期清运至乌拉特前旗污水处理厂处理。</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生活污水排入防渗化粪池内，定期清运至乌拉特前旗污水处理厂处理。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restar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燃煤热水锅炉</w:t>
                  </w:r>
                  <w:r>
                    <w:rPr>
                      <w:rFonts w:hint="default" w:ascii="Times New Roman" w:hAnsi="Times New Roman" w:eastAsia="宋体" w:cs="Times New Roman"/>
                      <w:color w:val="auto"/>
                      <w:sz w:val="21"/>
                      <w:szCs w:val="21"/>
                      <w:highlight w:val="none"/>
                    </w:rPr>
                    <w:t>产生的炉渣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暂存于全封闭灰渣间内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作为</w:t>
                  </w:r>
                  <w:r>
                    <w:rPr>
                      <w:rFonts w:hint="default" w:ascii="Times New Roman" w:hAnsi="Times New Roman" w:eastAsia="宋体" w:cs="Times New Roman"/>
                      <w:color w:val="auto"/>
                      <w:sz w:val="21"/>
                      <w:szCs w:val="21"/>
                      <w:highlight w:val="none"/>
                      <w:lang w:eastAsia="zh-CN"/>
                    </w:rPr>
                    <w:t>建筑材料定期</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lang w:eastAsia="zh-CN"/>
                    </w:rPr>
                    <w:t>建材公司</w:t>
                  </w:r>
                  <w:r>
                    <w:rPr>
                      <w:rFonts w:hint="default" w:ascii="Times New Roman" w:hAnsi="Times New Roman" w:eastAsia="宋体"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eastAsia="zh-CN"/>
                    </w:rPr>
                    <w:t>综合利用</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lang w:eastAsia="zh-CN"/>
                    </w:rPr>
                    <w:t>热水锅炉</w:t>
                  </w:r>
                  <w:r>
                    <w:rPr>
                      <w:rFonts w:hint="default" w:ascii="Times New Roman" w:hAnsi="Times New Roman" w:eastAsia="宋体" w:cs="Times New Roman"/>
                      <w:color w:val="auto"/>
                      <w:sz w:val="21"/>
                      <w:szCs w:val="21"/>
                      <w:highlight w:val="none"/>
                    </w:rPr>
                    <w:t>产生的炉渣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主要成分为草灰，</w:t>
                  </w:r>
                  <w:r>
                    <w:rPr>
                      <w:rFonts w:hint="default" w:ascii="Times New Roman" w:hAnsi="Times New Roman" w:eastAsia="宋体" w:cs="Times New Roman"/>
                      <w:color w:val="auto"/>
                      <w:sz w:val="21"/>
                      <w:szCs w:val="21"/>
                      <w:highlight w:val="none"/>
                      <w:lang w:eastAsia="zh-CN"/>
                    </w:rPr>
                    <w:t>含有钾、磷、钙、镁、硅、硫和铁、锰、铜、锌、硼、钼等微量营养元素；</w:t>
                  </w:r>
                  <w:r>
                    <w:rPr>
                      <w:rFonts w:hint="default" w:ascii="Times New Roman" w:hAnsi="Times New Roman" w:eastAsia="宋体" w:cs="Times New Roman"/>
                      <w:color w:val="auto"/>
                      <w:sz w:val="21"/>
                      <w:szCs w:val="21"/>
                      <w:highlight w:val="none"/>
                      <w:lang w:val="en-US" w:eastAsia="zh-CN"/>
                    </w:rPr>
                    <w:t>属于一般工业固废；</w:t>
                  </w:r>
                  <w:r>
                    <w:rPr>
                      <w:rFonts w:hint="default" w:ascii="Times New Roman" w:hAnsi="Times New Roman" w:eastAsia="宋体" w:cs="Times New Roman"/>
                      <w:color w:val="auto"/>
                      <w:sz w:val="21"/>
                      <w:szCs w:val="21"/>
                      <w:highlight w:val="none"/>
                    </w:rPr>
                    <w:t>暂存于</w:t>
                  </w:r>
                  <w:r>
                    <w:rPr>
                      <w:rFonts w:hint="default" w:ascii="Times New Roman" w:hAnsi="Times New Roman" w:eastAsia="宋体" w:cs="Times New Roman"/>
                      <w:color w:val="auto"/>
                      <w:sz w:val="21"/>
                      <w:szCs w:val="21"/>
                      <w:highlight w:val="none"/>
                      <w:lang w:val="en-US" w:eastAsia="zh-CN"/>
                    </w:rPr>
                    <w:t>扩建后400m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全封闭灰渣间内</w:t>
                  </w:r>
                  <w:r>
                    <w:rPr>
                      <w:rFonts w:hint="default" w:ascii="Times New Roman" w:hAnsi="Times New Roman" w:eastAsia="宋体" w:cs="Times New Roman"/>
                      <w:color w:val="auto"/>
                      <w:sz w:val="21"/>
                      <w:szCs w:val="21"/>
                      <w:highlight w:val="none"/>
                      <w:lang w:eastAsia="zh-CN"/>
                    </w:rPr>
                    <w:t>，定期作为</w:t>
                  </w:r>
                  <w:r>
                    <w:rPr>
                      <w:rFonts w:hint="default" w:ascii="Times New Roman" w:hAnsi="Times New Roman" w:eastAsia="宋体" w:cs="Times New Roman"/>
                      <w:color w:val="auto"/>
                      <w:sz w:val="21"/>
                      <w:szCs w:val="21"/>
                      <w:highlight w:val="none"/>
                    </w:rPr>
                    <w:t>肥料施用于</w:t>
                  </w:r>
                  <w:r>
                    <w:rPr>
                      <w:rFonts w:hint="default" w:ascii="Times New Roman" w:hAnsi="Times New Roman" w:eastAsia="宋体" w:cs="Times New Roman"/>
                      <w:color w:val="auto"/>
                      <w:sz w:val="21"/>
                      <w:szCs w:val="21"/>
                      <w:highlight w:val="none"/>
                      <w:lang w:val="en-US" w:eastAsia="zh-CN"/>
                    </w:rPr>
                    <w:t>周边农田</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lang w:eastAsia="zh-CN"/>
                    </w:rPr>
                    <w:t>热水锅炉</w:t>
                  </w:r>
                  <w:r>
                    <w:rPr>
                      <w:rFonts w:hint="default" w:ascii="Times New Roman" w:hAnsi="Times New Roman" w:eastAsia="宋体" w:cs="Times New Roman"/>
                      <w:color w:val="auto"/>
                      <w:sz w:val="21"/>
                      <w:szCs w:val="21"/>
                      <w:highlight w:val="none"/>
                    </w:rPr>
                    <w:t>产生的炉渣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主要成分为草灰，</w:t>
                  </w:r>
                  <w:r>
                    <w:rPr>
                      <w:rFonts w:hint="default" w:ascii="Times New Roman" w:hAnsi="Times New Roman" w:eastAsia="宋体" w:cs="Times New Roman"/>
                      <w:color w:val="auto"/>
                      <w:sz w:val="21"/>
                      <w:szCs w:val="21"/>
                      <w:highlight w:val="none"/>
                      <w:lang w:eastAsia="zh-CN"/>
                    </w:rPr>
                    <w:t>含有钾、磷、钙、镁、硅、硫和铁、锰、铜、锌、硼、钼等微量营养元素；</w:t>
                  </w:r>
                  <w:r>
                    <w:rPr>
                      <w:rFonts w:hint="default" w:ascii="Times New Roman" w:hAnsi="Times New Roman" w:eastAsia="宋体" w:cs="Times New Roman"/>
                      <w:color w:val="auto"/>
                      <w:sz w:val="21"/>
                      <w:szCs w:val="21"/>
                      <w:highlight w:val="none"/>
                      <w:lang w:val="en-US" w:eastAsia="zh-CN"/>
                    </w:rPr>
                    <w:t>属于一般工业固废；</w:t>
                  </w:r>
                  <w:r>
                    <w:rPr>
                      <w:rFonts w:hint="default" w:ascii="Times New Roman" w:hAnsi="Times New Roman" w:eastAsia="宋体" w:cs="Times New Roman"/>
                      <w:color w:val="auto"/>
                      <w:sz w:val="21"/>
                      <w:szCs w:val="21"/>
                      <w:highlight w:val="none"/>
                    </w:rPr>
                    <w:t>暂存于</w:t>
                  </w:r>
                  <w:r>
                    <w:rPr>
                      <w:rFonts w:hint="default" w:ascii="Times New Roman" w:hAnsi="Times New Roman" w:eastAsia="宋体" w:cs="Times New Roman"/>
                      <w:color w:val="auto"/>
                      <w:sz w:val="21"/>
                      <w:szCs w:val="21"/>
                      <w:highlight w:val="none"/>
                      <w:lang w:val="en-US" w:eastAsia="zh-CN"/>
                    </w:rPr>
                    <w:t>扩建后400m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全封闭灰渣间内</w:t>
                  </w:r>
                  <w:r>
                    <w:rPr>
                      <w:rFonts w:hint="default" w:ascii="Times New Roman" w:hAnsi="Times New Roman" w:eastAsia="宋体" w:cs="Times New Roman"/>
                      <w:color w:val="auto"/>
                      <w:sz w:val="21"/>
                      <w:szCs w:val="21"/>
                      <w:highlight w:val="none"/>
                      <w:lang w:eastAsia="zh-CN"/>
                    </w:rPr>
                    <w:t>，定期作为</w:t>
                  </w:r>
                  <w:r>
                    <w:rPr>
                      <w:rFonts w:hint="default" w:ascii="Times New Roman" w:hAnsi="Times New Roman" w:eastAsia="宋体" w:cs="Times New Roman"/>
                      <w:color w:val="auto"/>
                      <w:sz w:val="21"/>
                      <w:szCs w:val="21"/>
                      <w:highlight w:val="none"/>
                    </w:rPr>
                    <w:t>肥料施用于</w:t>
                  </w:r>
                  <w:r>
                    <w:rPr>
                      <w:rFonts w:hint="default" w:ascii="Times New Roman" w:hAnsi="Times New Roman" w:eastAsia="宋体" w:cs="Times New Roman"/>
                      <w:color w:val="auto"/>
                      <w:sz w:val="21"/>
                      <w:szCs w:val="21"/>
                      <w:highlight w:val="none"/>
                      <w:lang w:val="en-US" w:eastAsia="zh-CN"/>
                    </w:rPr>
                    <w:t>周边农田</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多管旋风除尘器+布袋除尘器收</w:t>
                  </w:r>
                  <w:r>
                    <w:rPr>
                      <w:rFonts w:hint="default" w:ascii="Times New Roman" w:hAnsi="Times New Roman" w:eastAsia="宋体" w:cs="Times New Roman"/>
                      <w:color w:val="auto"/>
                      <w:sz w:val="21"/>
                      <w:szCs w:val="21"/>
                      <w:highlight w:val="none"/>
                    </w:rPr>
                    <w:t>集的除尘灰，</w:t>
                  </w:r>
                  <w:r>
                    <w:rPr>
                      <w:rFonts w:hint="default" w:ascii="Times New Roman" w:hAnsi="Times New Roman" w:eastAsia="宋体" w:cs="Times New Roman"/>
                      <w:bCs/>
                      <w:color w:val="auto"/>
                      <w:sz w:val="21"/>
                      <w:szCs w:val="21"/>
                      <w:highlight w:val="none"/>
                    </w:rPr>
                    <w:t>暂存于全封闭灰渣间内</w:t>
                  </w:r>
                  <w:r>
                    <w:rPr>
                      <w:rFonts w:hint="default" w:ascii="Times New Roman" w:hAnsi="Times New Roman" w:eastAsia="宋体" w:cs="Times New Roman"/>
                      <w:bCs/>
                      <w:color w:val="auto"/>
                      <w:sz w:val="21"/>
                      <w:szCs w:val="21"/>
                      <w:highlight w:val="none"/>
                      <w:lang w:eastAsia="zh-CN"/>
                    </w:rPr>
                    <w:t>。作为建筑材料定期给建材公司进行综合利用</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多管旋风除尘器+布袋除尘器收</w:t>
                  </w:r>
                  <w:r>
                    <w:rPr>
                      <w:rFonts w:hint="default" w:ascii="Times New Roman" w:hAnsi="Times New Roman" w:eastAsia="宋体" w:cs="Times New Roman"/>
                      <w:color w:val="auto"/>
                      <w:sz w:val="21"/>
                      <w:szCs w:val="21"/>
                      <w:highlight w:val="none"/>
                    </w:rPr>
                    <w:t>集的除尘灰，</w:t>
                  </w:r>
                  <w:r>
                    <w:rPr>
                      <w:rFonts w:hint="default" w:ascii="Times New Roman" w:hAnsi="Times New Roman" w:eastAsia="宋体" w:cs="Times New Roman"/>
                      <w:color w:val="auto"/>
                      <w:sz w:val="21"/>
                      <w:szCs w:val="21"/>
                      <w:highlight w:val="none"/>
                      <w:lang w:val="en-US" w:eastAsia="zh-CN"/>
                    </w:rPr>
                    <w:t>主要成分为草灰，</w:t>
                  </w:r>
                  <w:r>
                    <w:rPr>
                      <w:rFonts w:hint="default" w:ascii="Times New Roman" w:hAnsi="Times New Roman" w:eastAsia="宋体" w:cs="Times New Roman"/>
                      <w:color w:val="auto"/>
                      <w:sz w:val="21"/>
                      <w:szCs w:val="21"/>
                      <w:highlight w:val="none"/>
                      <w:lang w:eastAsia="zh-CN"/>
                    </w:rPr>
                    <w:t>含有钾、磷、钙、镁、硅、硫和铁、锰、铜、锌、硼、钼等微量营养元素；</w:t>
                  </w:r>
                  <w:r>
                    <w:rPr>
                      <w:rFonts w:hint="default" w:ascii="Times New Roman" w:hAnsi="Times New Roman" w:eastAsia="宋体" w:cs="Times New Roman"/>
                      <w:color w:val="auto"/>
                      <w:sz w:val="21"/>
                      <w:szCs w:val="21"/>
                      <w:highlight w:val="none"/>
                      <w:lang w:val="en-US" w:eastAsia="zh-CN"/>
                    </w:rPr>
                    <w:t>属于一般工业固废；</w:t>
                  </w:r>
                  <w:r>
                    <w:rPr>
                      <w:rFonts w:hint="default" w:ascii="Times New Roman" w:hAnsi="Times New Roman" w:eastAsia="宋体" w:cs="Times New Roman"/>
                      <w:color w:val="auto"/>
                      <w:sz w:val="21"/>
                      <w:szCs w:val="21"/>
                      <w:highlight w:val="none"/>
                    </w:rPr>
                    <w:t>暂存于</w:t>
                  </w:r>
                  <w:r>
                    <w:rPr>
                      <w:rFonts w:hint="default" w:ascii="Times New Roman" w:hAnsi="Times New Roman" w:eastAsia="宋体" w:cs="Times New Roman"/>
                      <w:color w:val="auto"/>
                      <w:sz w:val="21"/>
                      <w:szCs w:val="21"/>
                      <w:highlight w:val="none"/>
                      <w:lang w:val="en-US" w:eastAsia="zh-CN"/>
                    </w:rPr>
                    <w:t>扩建后400m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全封闭灰渣间内</w:t>
                  </w:r>
                  <w:r>
                    <w:rPr>
                      <w:rFonts w:hint="default" w:ascii="Times New Roman" w:hAnsi="Times New Roman" w:eastAsia="宋体" w:cs="Times New Roman"/>
                      <w:color w:val="auto"/>
                      <w:sz w:val="21"/>
                      <w:szCs w:val="21"/>
                      <w:highlight w:val="none"/>
                      <w:lang w:eastAsia="zh-CN"/>
                    </w:rPr>
                    <w:t>，定期作为</w:t>
                  </w:r>
                  <w:r>
                    <w:rPr>
                      <w:rFonts w:hint="default" w:ascii="Times New Roman" w:hAnsi="Times New Roman" w:eastAsia="宋体" w:cs="Times New Roman"/>
                      <w:color w:val="auto"/>
                      <w:sz w:val="21"/>
                      <w:szCs w:val="21"/>
                      <w:highlight w:val="none"/>
                    </w:rPr>
                    <w:t>肥料施用于</w:t>
                  </w:r>
                  <w:r>
                    <w:rPr>
                      <w:rFonts w:hint="default" w:ascii="Times New Roman" w:hAnsi="Times New Roman" w:eastAsia="宋体" w:cs="Times New Roman"/>
                      <w:color w:val="auto"/>
                      <w:sz w:val="21"/>
                      <w:szCs w:val="21"/>
                      <w:highlight w:val="none"/>
                      <w:lang w:val="en-US" w:eastAsia="zh-CN"/>
                    </w:rPr>
                    <w:t>周边农田</w:t>
                  </w:r>
                  <w:r>
                    <w:rPr>
                      <w:rFonts w:hint="default" w:ascii="Times New Roman" w:hAnsi="Times New Roman" w:eastAsia="宋体" w:cs="Times New Roman"/>
                      <w:color w:val="auto"/>
                      <w:sz w:val="21"/>
                      <w:szCs w:val="21"/>
                      <w:highlight w:val="none"/>
                    </w:rPr>
                    <w:t>。</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多管旋风除尘器+布袋除尘器收</w:t>
                  </w:r>
                  <w:r>
                    <w:rPr>
                      <w:rFonts w:hint="default" w:ascii="Times New Roman" w:hAnsi="Times New Roman" w:eastAsia="宋体" w:cs="Times New Roman"/>
                      <w:color w:val="auto"/>
                      <w:sz w:val="21"/>
                      <w:szCs w:val="21"/>
                      <w:highlight w:val="none"/>
                    </w:rPr>
                    <w:t>集的除尘灰，</w:t>
                  </w:r>
                  <w:r>
                    <w:rPr>
                      <w:rFonts w:hint="default" w:ascii="Times New Roman" w:hAnsi="Times New Roman" w:eastAsia="宋体" w:cs="Times New Roman"/>
                      <w:color w:val="auto"/>
                      <w:sz w:val="21"/>
                      <w:szCs w:val="21"/>
                      <w:highlight w:val="none"/>
                      <w:lang w:val="en-US" w:eastAsia="zh-CN"/>
                    </w:rPr>
                    <w:t>主要成分为草灰，</w:t>
                  </w:r>
                  <w:r>
                    <w:rPr>
                      <w:rFonts w:hint="default" w:ascii="Times New Roman" w:hAnsi="Times New Roman" w:eastAsia="宋体" w:cs="Times New Roman"/>
                      <w:color w:val="auto"/>
                      <w:sz w:val="21"/>
                      <w:szCs w:val="21"/>
                      <w:highlight w:val="none"/>
                      <w:lang w:eastAsia="zh-CN"/>
                    </w:rPr>
                    <w:t>含有钾、磷、钙、镁、硅、硫和铁、锰、铜、锌、硼、钼等微量营养元素；</w:t>
                  </w:r>
                  <w:r>
                    <w:rPr>
                      <w:rFonts w:hint="default" w:ascii="Times New Roman" w:hAnsi="Times New Roman" w:eastAsia="宋体" w:cs="Times New Roman"/>
                      <w:color w:val="auto"/>
                      <w:sz w:val="21"/>
                      <w:szCs w:val="21"/>
                      <w:highlight w:val="none"/>
                      <w:lang w:val="en-US" w:eastAsia="zh-CN"/>
                    </w:rPr>
                    <w:t>属于一般工业固废；</w:t>
                  </w:r>
                  <w:r>
                    <w:rPr>
                      <w:rFonts w:hint="default" w:ascii="Times New Roman" w:hAnsi="Times New Roman" w:eastAsia="宋体" w:cs="Times New Roman"/>
                      <w:color w:val="auto"/>
                      <w:sz w:val="21"/>
                      <w:szCs w:val="21"/>
                      <w:highlight w:val="none"/>
                    </w:rPr>
                    <w:t>暂存于</w:t>
                  </w:r>
                  <w:r>
                    <w:rPr>
                      <w:rFonts w:hint="default" w:ascii="Times New Roman" w:hAnsi="Times New Roman" w:eastAsia="宋体" w:cs="Times New Roman"/>
                      <w:color w:val="auto"/>
                      <w:sz w:val="21"/>
                      <w:szCs w:val="21"/>
                      <w:highlight w:val="none"/>
                      <w:lang w:val="en-US" w:eastAsia="zh-CN"/>
                    </w:rPr>
                    <w:t>扩建后400m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全封闭灰渣间内</w:t>
                  </w:r>
                  <w:r>
                    <w:rPr>
                      <w:rFonts w:hint="default" w:ascii="Times New Roman" w:hAnsi="Times New Roman" w:eastAsia="宋体" w:cs="Times New Roman"/>
                      <w:color w:val="auto"/>
                      <w:sz w:val="21"/>
                      <w:szCs w:val="21"/>
                      <w:highlight w:val="none"/>
                      <w:lang w:eastAsia="zh-CN"/>
                    </w:rPr>
                    <w:t>，定期作为</w:t>
                  </w:r>
                  <w:r>
                    <w:rPr>
                      <w:rFonts w:hint="default" w:ascii="Times New Roman" w:hAnsi="Times New Roman" w:eastAsia="宋体" w:cs="Times New Roman"/>
                      <w:color w:val="auto"/>
                      <w:sz w:val="21"/>
                      <w:szCs w:val="21"/>
                      <w:highlight w:val="none"/>
                    </w:rPr>
                    <w:t>肥料施用于</w:t>
                  </w:r>
                  <w:r>
                    <w:rPr>
                      <w:rFonts w:hint="default" w:ascii="Times New Roman" w:hAnsi="Times New Roman" w:eastAsia="宋体" w:cs="Times New Roman"/>
                      <w:color w:val="auto"/>
                      <w:sz w:val="21"/>
                      <w:szCs w:val="21"/>
                      <w:highlight w:val="none"/>
                      <w:lang w:val="en-US" w:eastAsia="zh-CN"/>
                    </w:rPr>
                    <w:t>周边农田</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软水制备装置产生的废饱和树脂定期更换，由销售厂家直接回收，不在厂区内储存。</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软水制备装置产生的废饱和树脂定期更换，由销售厂家直接回收，不在厂区内储存。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沉淀池底部</w:t>
                  </w:r>
                  <w:r>
                    <w:rPr>
                      <w:rFonts w:hint="default" w:ascii="Times New Roman" w:hAnsi="Times New Roman" w:eastAsia="宋体" w:cs="Times New Roman"/>
                      <w:color w:val="auto"/>
                      <w:sz w:val="21"/>
                      <w:szCs w:val="21"/>
                      <w:highlight w:val="none"/>
                      <w:lang w:eastAsia="zh-CN" w:bidi="ar"/>
                    </w:rPr>
                    <w:t>脱硫渣</w:t>
                  </w:r>
                  <w:r>
                    <w:rPr>
                      <w:rFonts w:hint="default" w:ascii="Times New Roman" w:hAnsi="Times New Roman" w:eastAsia="宋体" w:cs="Times New Roman"/>
                      <w:color w:val="auto"/>
                      <w:sz w:val="21"/>
                      <w:szCs w:val="21"/>
                      <w:highlight w:val="none"/>
                      <w:lang w:bidi="ar"/>
                    </w:rPr>
                    <w:t>定期抽入</w:t>
                  </w:r>
                  <w:r>
                    <w:rPr>
                      <w:rFonts w:hint="default" w:ascii="Times New Roman" w:hAnsi="Times New Roman" w:eastAsia="宋体" w:cs="Times New Roman"/>
                      <w:color w:val="auto"/>
                      <w:sz w:val="21"/>
                      <w:szCs w:val="21"/>
                      <w:highlight w:val="none"/>
                      <w:lang w:eastAsia="zh-CN" w:bidi="ar"/>
                    </w:rPr>
                    <w:t>脱硫渣干化池（</w:t>
                  </w:r>
                  <w:r>
                    <w:rPr>
                      <w:rFonts w:hint="default" w:ascii="Times New Roman" w:hAnsi="Times New Roman" w:eastAsia="宋体" w:cs="Times New Roman"/>
                      <w:color w:val="auto"/>
                      <w:sz w:val="21"/>
                      <w:szCs w:val="21"/>
                      <w:highlight w:val="none"/>
                      <w:lang w:bidi="ar"/>
                    </w:rPr>
                    <w:t>容积2m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），可满足干化要求，</w:t>
                  </w:r>
                  <w:r>
                    <w:rPr>
                      <w:rFonts w:hint="default" w:ascii="Times New Roman" w:hAnsi="Times New Roman" w:eastAsia="宋体" w:cs="Times New Roman"/>
                      <w:color w:val="auto"/>
                      <w:sz w:val="21"/>
                      <w:szCs w:val="21"/>
                      <w:highlight w:val="none"/>
                      <w:lang w:eastAsia="zh-CN" w:bidi="ar"/>
                    </w:rPr>
                    <w:t>脱硫渣干化池</w:t>
                  </w:r>
                  <w:r>
                    <w:rPr>
                      <w:rFonts w:hint="default" w:ascii="Times New Roman" w:hAnsi="Times New Roman" w:eastAsia="宋体" w:cs="Times New Roman"/>
                      <w:color w:val="auto"/>
                      <w:sz w:val="21"/>
                      <w:szCs w:val="21"/>
                      <w:highlight w:val="none"/>
                      <w:lang w:bidi="ar"/>
                    </w:rPr>
                    <w:t>内</w:t>
                  </w:r>
                  <w:r>
                    <w:rPr>
                      <w:rFonts w:hint="default" w:ascii="Times New Roman" w:hAnsi="Times New Roman" w:eastAsia="宋体" w:cs="Times New Roman"/>
                      <w:color w:val="auto"/>
                      <w:sz w:val="21"/>
                      <w:szCs w:val="21"/>
                      <w:highlight w:val="none"/>
                      <w:lang w:eastAsia="zh-CN" w:bidi="ar"/>
                    </w:rPr>
                    <w:t>脱硫渣</w:t>
                  </w:r>
                  <w:r>
                    <w:rPr>
                      <w:rFonts w:hint="default" w:ascii="Times New Roman" w:hAnsi="Times New Roman" w:eastAsia="宋体" w:cs="Times New Roman"/>
                      <w:color w:val="auto"/>
                      <w:sz w:val="21"/>
                      <w:szCs w:val="21"/>
                      <w:highlight w:val="none"/>
                      <w:lang w:bidi="ar"/>
                    </w:rPr>
                    <w:t>定期清运至建材公司综合利用。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三级沉淀池和脱硫渣干化池属于一般防渗区，采取抗渗混凝土防渗措施，渗透系数≤1</w:t>
                  </w:r>
                  <w:r>
                    <w:rPr>
                      <w:rFonts w:hint="default" w:ascii="Times New Roman" w:hAnsi="Times New Roman" w:eastAsia="宋体" w:cs="Times New Roman"/>
                      <w:color w:val="auto"/>
                      <w:sz w:val="21"/>
                      <w:szCs w:val="21"/>
                      <w:highlight w:val="none"/>
                      <w:vertAlign w:val="baseline"/>
                      <w:lang w:eastAsia="zh-CN"/>
                    </w:rPr>
                    <w:t>0</w:t>
                  </w:r>
                  <w:r>
                    <w:rPr>
                      <w:rFonts w:hint="default" w:ascii="Times New Roman" w:hAnsi="Times New Roman" w:eastAsia="宋体" w:cs="Times New Roman"/>
                      <w:color w:val="auto"/>
                      <w:sz w:val="21"/>
                      <w:szCs w:val="21"/>
                      <w:highlight w:val="none"/>
                      <w:vertAlign w:val="superscript"/>
                      <w:lang w:eastAsia="zh-CN"/>
                    </w:rPr>
                    <w:t>-7</w:t>
                  </w:r>
                  <w:r>
                    <w:rPr>
                      <w:rFonts w:hint="default" w:ascii="Times New Roman" w:hAnsi="Times New Roman" w:eastAsia="宋体" w:cs="Times New Roman"/>
                      <w:color w:val="auto"/>
                      <w:sz w:val="21"/>
                      <w:szCs w:val="21"/>
                      <w:highlight w:val="none"/>
                      <w:lang w:eastAsia="zh-CN"/>
                    </w:rPr>
                    <w:t>cm/s。</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钠碱法脱硫塔</w:t>
                  </w:r>
                  <w:r>
                    <w:rPr>
                      <w:rFonts w:hint="default" w:ascii="Times New Roman" w:hAnsi="Times New Roman" w:eastAsia="宋体" w:cs="Times New Roman"/>
                      <w:color w:val="auto"/>
                      <w:sz w:val="21"/>
                      <w:szCs w:val="21"/>
                      <w:highlight w:val="none"/>
                      <w:lang w:eastAsia="zh-CN"/>
                    </w:rPr>
                    <w:t>底部设置</w:t>
                  </w:r>
                  <w:r>
                    <w:rPr>
                      <w:rFonts w:hint="default" w:ascii="Times New Roman" w:hAnsi="Times New Roman" w:eastAsia="宋体" w:cs="Times New Roman"/>
                      <w:color w:val="auto"/>
                      <w:sz w:val="21"/>
                      <w:szCs w:val="21"/>
                      <w:highlight w:val="none"/>
                      <w:lang w:val="en-US" w:eastAsia="zh-CN"/>
                    </w:rPr>
                    <w:t>1座三级沉淀池，</w:t>
                  </w:r>
                  <w:r>
                    <w:rPr>
                      <w:rFonts w:hint="default" w:ascii="Times New Roman" w:hAnsi="Times New Roman" w:eastAsia="宋体" w:cs="Times New Roman"/>
                      <w:color w:val="auto"/>
                      <w:sz w:val="21"/>
                      <w:szCs w:val="21"/>
                      <w:highlight w:val="none"/>
                      <w:lang w:bidi="ar"/>
                    </w:rPr>
                    <w:t>沉淀池底部</w:t>
                  </w:r>
                  <w:r>
                    <w:rPr>
                      <w:rFonts w:hint="default" w:ascii="Times New Roman" w:hAnsi="Times New Roman" w:eastAsia="宋体" w:cs="Times New Roman"/>
                      <w:color w:val="auto"/>
                      <w:sz w:val="21"/>
                      <w:szCs w:val="21"/>
                      <w:highlight w:val="none"/>
                      <w:lang w:eastAsia="zh-CN" w:bidi="ar"/>
                    </w:rPr>
                    <w:t>脱硫渣</w:t>
                  </w:r>
                  <w:r>
                    <w:rPr>
                      <w:rFonts w:hint="default" w:ascii="Times New Roman" w:hAnsi="Times New Roman" w:eastAsia="宋体" w:cs="Times New Roman"/>
                      <w:color w:val="auto"/>
                      <w:sz w:val="21"/>
                      <w:szCs w:val="21"/>
                      <w:highlight w:val="none"/>
                      <w:lang w:bidi="ar"/>
                    </w:rPr>
                    <w:t>定期抽入</w:t>
                  </w:r>
                  <w:r>
                    <w:rPr>
                      <w:rFonts w:hint="default" w:ascii="Times New Roman" w:hAnsi="Times New Roman" w:eastAsia="宋体" w:cs="Times New Roman"/>
                      <w:color w:val="auto"/>
                      <w:sz w:val="21"/>
                      <w:szCs w:val="21"/>
                      <w:highlight w:val="none"/>
                      <w:lang w:eastAsia="zh-CN" w:bidi="ar"/>
                    </w:rPr>
                    <w:t>脱硫渣干化池（</w:t>
                  </w:r>
                  <w:r>
                    <w:rPr>
                      <w:rFonts w:hint="default" w:ascii="Times New Roman" w:hAnsi="Times New Roman" w:eastAsia="宋体" w:cs="Times New Roman"/>
                      <w:color w:val="auto"/>
                      <w:sz w:val="21"/>
                      <w:szCs w:val="21"/>
                      <w:highlight w:val="none"/>
                      <w:lang w:bidi="ar"/>
                    </w:rPr>
                    <w:t>容积2m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），可满足干化要求，</w:t>
                  </w:r>
                  <w:r>
                    <w:rPr>
                      <w:rFonts w:hint="default" w:ascii="Times New Roman" w:hAnsi="Times New Roman" w:eastAsia="宋体" w:cs="Times New Roman"/>
                      <w:color w:val="auto"/>
                      <w:sz w:val="21"/>
                      <w:szCs w:val="21"/>
                      <w:highlight w:val="none"/>
                      <w:lang w:eastAsia="zh-CN" w:bidi="ar"/>
                    </w:rPr>
                    <w:t>脱硫渣干化池</w:t>
                  </w:r>
                  <w:r>
                    <w:rPr>
                      <w:rFonts w:hint="default" w:ascii="Times New Roman" w:hAnsi="Times New Roman" w:eastAsia="宋体" w:cs="Times New Roman"/>
                      <w:color w:val="auto"/>
                      <w:sz w:val="21"/>
                      <w:szCs w:val="21"/>
                      <w:highlight w:val="none"/>
                      <w:lang w:bidi="ar"/>
                    </w:rPr>
                    <w:t>内</w:t>
                  </w:r>
                  <w:r>
                    <w:rPr>
                      <w:rFonts w:hint="default" w:ascii="Times New Roman" w:hAnsi="Times New Roman" w:eastAsia="宋体" w:cs="Times New Roman"/>
                      <w:color w:val="auto"/>
                      <w:sz w:val="21"/>
                      <w:szCs w:val="21"/>
                      <w:highlight w:val="none"/>
                      <w:lang w:eastAsia="zh-CN" w:bidi="ar"/>
                    </w:rPr>
                    <w:t>脱硫渣</w:t>
                  </w:r>
                  <w:r>
                    <w:rPr>
                      <w:rFonts w:hint="default" w:ascii="Times New Roman" w:hAnsi="Times New Roman" w:eastAsia="宋体" w:cs="Times New Roman"/>
                      <w:color w:val="auto"/>
                      <w:sz w:val="21"/>
                      <w:szCs w:val="21"/>
                      <w:highlight w:val="none"/>
                      <w:lang w:bidi="ar"/>
                    </w:rPr>
                    <w:t>定期清运至建材公司综合利用。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三级沉淀池和脱硫渣干化池属于一般防渗区，采取抗渗混凝土防渗措施，渗透系数≤1</w:t>
                  </w:r>
                  <w:r>
                    <w:rPr>
                      <w:rFonts w:hint="default" w:ascii="Times New Roman" w:hAnsi="Times New Roman" w:eastAsia="宋体" w:cs="Times New Roman"/>
                      <w:color w:val="auto"/>
                      <w:sz w:val="21"/>
                      <w:szCs w:val="21"/>
                      <w:highlight w:val="none"/>
                      <w:vertAlign w:val="baseline"/>
                      <w:lang w:eastAsia="zh-CN"/>
                    </w:rPr>
                    <w:t>0</w:t>
                  </w:r>
                  <w:r>
                    <w:rPr>
                      <w:rFonts w:hint="default" w:ascii="Times New Roman" w:hAnsi="Times New Roman" w:eastAsia="宋体" w:cs="Times New Roman"/>
                      <w:color w:val="auto"/>
                      <w:sz w:val="21"/>
                      <w:szCs w:val="21"/>
                      <w:highlight w:val="none"/>
                      <w:vertAlign w:val="superscript"/>
                      <w:lang w:eastAsia="zh-CN"/>
                    </w:rPr>
                    <w:t>-7</w:t>
                  </w:r>
                  <w:r>
                    <w:rPr>
                      <w:rFonts w:hint="default" w:ascii="Times New Roman" w:hAnsi="Times New Roman" w:eastAsia="宋体" w:cs="Times New Roman"/>
                      <w:color w:val="auto"/>
                      <w:sz w:val="21"/>
                      <w:szCs w:val="21"/>
                      <w:highlight w:val="none"/>
                      <w:lang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Merge w:val="continue"/>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eastAsia="zh-CN"/>
                    </w:rPr>
                    <w:t>生活垃圾采用垃圾桶收集后，定期运至环卫部门指定地点。</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eastAsia="zh-CN"/>
                    </w:rPr>
                    <w:t>生活垃圾采用垃圾桶收集后，定期运至环卫部门指定地点。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基础减震、厂房隔声。</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基础减震、厂房隔声。</w:t>
                  </w:r>
                </w:p>
              </w:tc>
              <w:tc>
                <w:tcPr>
                  <w:tcW w:w="232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基础减震、厂房隔声。</w:t>
                  </w:r>
                </w:p>
              </w:tc>
            </w:tr>
          </w:tbl>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、主要设备</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本项目主要设备表见表2-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pPr>
              <w:spacing w:line="360" w:lineRule="auto"/>
              <w:ind w:firstLine="48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w:t>
            </w: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本项目主要设备</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683"/>
              <w:gridCol w:w="1245"/>
              <w:gridCol w:w="1246"/>
              <w:gridCol w:w="683"/>
              <w:gridCol w:w="683"/>
              <w:gridCol w:w="124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noWrap w:val="0"/>
                  <w:vAlign w:val="center"/>
                </w:tcPr>
                <w:p>
                  <w:pPr>
                    <w:adjustRightInd w:val="0"/>
                    <w:snapToGrid w:val="0"/>
                    <w:spacing w:line="24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类别</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序号</w:t>
                  </w:r>
                </w:p>
              </w:tc>
              <w:tc>
                <w:tcPr>
                  <w:tcW w:w="1034" w:type="dxa"/>
                  <w:noWrap w:val="0"/>
                  <w:vAlign w:val="center"/>
                </w:tcPr>
                <w:p>
                  <w:pPr>
                    <w:adjustRightInd w:val="0"/>
                    <w:snapToGrid w:val="0"/>
                    <w:spacing w:line="24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设备名称</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规格/型号</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单位</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数量</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备注</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restart"/>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公用工程</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w:t>
                  </w:r>
                </w:p>
              </w:tc>
              <w:tc>
                <w:tcPr>
                  <w:tcW w:w="1034"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eastAsia="zh-CN"/>
                    </w:rPr>
                    <w:t>生物质热水</w:t>
                  </w:r>
                  <w:r>
                    <w:rPr>
                      <w:rFonts w:hint="default" w:ascii="Times New Roman" w:hAnsi="Times New Roman" w:eastAsia="宋体" w:cs="Times New Roman"/>
                      <w:bCs/>
                      <w:color w:val="auto"/>
                      <w:highlight w:val="none"/>
                    </w:rPr>
                    <w:t>锅炉</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D</w:t>
                  </w:r>
                  <w:r>
                    <w:rPr>
                      <w:rFonts w:hint="default" w:ascii="Times New Roman" w:hAnsi="Times New Roman" w:eastAsia="宋体" w:cs="Times New Roman"/>
                      <w:color w:val="auto"/>
                      <w:kern w:val="0"/>
                      <w:highlight w:val="none"/>
                    </w:rPr>
                    <w:t>ZL</w:t>
                  </w:r>
                  <w:r>
                    <w:rPr>
                      <w:rFonts w:hint="default" w:ascii="Times New Roman" w:hAnsi="Times New Roman" w:eastAsia="宋体" w:cs="Times New Roman"/>
                      <w:color w:val="auto"/>
                      <w:kern w:val="0"/>
                      <w:highlight w:val="none"/>
                      <w:lang w:val="en-US" w:eastAsia="zh-CN"/>
                    </w:rPr>
                    <w:t>7</w:t>
                  </w:r>
                  <w:r>
                    <w:rPr>
                      <w:rFonts w:hint="default" w:ascii="Times New Roman" w:hAnsi="Times New Roman" w:eastAsia="宋体" w:cs="Times New Roman"/>
                      <w:color w:val="auto"/>
                      <w:kern w:val="0"/>
                      <w:highlight w:val="none"/>
                    </w:rPr>
                    <w:t>-</w:t>
                  </w:r>
                  <w:r>
                    <w:rPr>
                      <w:rFonts w:hint="default" w:ascii="Times New Roman" w:hAnsi="Times New Roman" w:eastAsia="宋体" w:cs="Times New Roman"/>
                      <w:color w:val="auto"/>
                      <w:kern w:val="0"/>
                      <w:highlight w:val="none"/>
                      <w:lang w:val="en-US" w:eastAsia="zh-CN"/>
                    </w:rPr>
                    <w:t>1.0/95/70-SCI</w:t>
                  </w:r>
                  <w:r>
                    <w:rPr>
                      <w:rFonts w:hint="default" w:ascii="Times New Roman" w:hAnsi="Times New Roman" w:eastAsia="宋体" w:cs="Times New Roman"/>
                      <w:bCs/>
                      <w:color w:val="auto"/>
                      <w:highlight w:val="none"/>
                      <w:lang w:eastAsia="zh-CN"/>
                    </w:rPr>
                    <w:t>（</w:t>
                  </w:r>
                  <w:r>
                    <w:rPr>
                      <w:rFonts w:hint="eastAsia" w:ascii="Times New Roman" w:hAnsi="Times New Roman" w:eastAsia="宋体" w:cs="Times New Roman"/>
                      <w:bCs/>
                      <w:color w:val="auto"/>
                      <w:highlight w:val="none"/>
                      <w:lang w:val="en-US" w:eastAsia="zh-CN"/>
                    </w:rPr>
                    <w:t>7MW</w:t>
                  </w:r>
                  <w:r>
                    <w:rPr>
                      <w:rFonts w:hint="default" w:ascii="Times New Roman" w:hAnsi="Times New Roman" w:eastAsia="宋体" w:cs="Times New Roman"/>
                      <w:bCs/>
                      <w:color w:val="auto"/>
                      <w:highlight w:val="none"/>
                    </w:rPr>
                    <w:t>）</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套</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新建</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冬季供暖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2</w:t>
                  </w:r>
                </w:p>
              </w:tc>
              <w:tc>
                <w:tcPr>
                  <w:tcW w:w="1034"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炉排减速机</w:t>
                  </w:r>
                </w:p>
              </w:tc>
              <w:tc>
                <w:tcPr>
                  <w:tcW w:w="103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锅炉配套</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台</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 xml:space="preserve">1 </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新建</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highlight w:val="none"/>
                    </w:rPr>
                    <w:t>3</w:t>
                  </w:r>
                </w:p>
              </w:tc>
              <w:tc>
                <w:tcPr>
                  <w:tcW w:w="1034"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上料机</w:t>
                  </w:r>
                </w:p>
              </w:tc>
              <w:tc>
                <w:tcPr>
                  <w:tcW w:w="103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锅炉配套</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台</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 xml:space="preserve">1 </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新建</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highlight w:val="none"/>
                    </w:rPr>
                    <w:t>4</w:t>
                  </w:r>
                </w:p>
              </w:tc>
              <w:tc>
                <w:tcPr>
                  <w:tcW w:w="1034"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出渣机</w:t>
                  </w:r>
                </w:p>
              </w:tc>
              <w:tc>
                <w:tcPr>
                  <w:tcW w:w="103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锅炉配套</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台</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 xml:space="preserve">1 </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新建</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highlight w:val="none"/>
                    </w:rPr>
                    <w:t>5</w:t>
                  </w:r>
                </w:p>
              </w:tc>
              <w:tc>
                <w:tcPr>
                  <w:tcW w:w="1034"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eastAsia="zh-CN" w:bidi="ar"/>
                    </w:rPr>
                    <w:t>软水制备装置</w:t>
                  </w:r>
                </w:p>
              </w:tc>
              <w:tc>
                <w:tcPr>
                  <w:tcW w:w="103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10</w:t>
                  </w:r>
                  <w:r>
                    <w:rPr>
                      <w:rFonts w:hint="default" w:ascii="Times New Roman" w:hAnsi="Times New Roman" w:eastAsia="宋体" w:cs="Times New Roman"/>
                      <w:color w:val="auto"/>
                      <w:kern w:val="0"/>
                      <w:szCs w:val="21"/>
                      <w:highlight w:val="none"/>
                      <w:lang w:bidi="ar"/>
                    </w:rPr>
                    <w:t>T/</w:t>
                  </w:r>
                  <w:r>
                    <w:rPr>
                      <w:rFonts w:hint="default" w:ascii="Times New Roman" w:hAnsi="Times New Roman" w:eastAsia="宋体" w:cs="Times New Roman"/>
                      <w:color w:val="auto"/>
                      <w:kern w:val="0"/>
                      <w:szCs w:val="21"/>
                      <w:highlight w:val="none"/>
                      <w:lang w:val="en-US" w:eastAsia="zh-CN" w:bidi="ar"/>
                    </w:rPr>
                    <w:t>h</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套</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 xml:space="preserve">1 </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利用原有</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制备软水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highlight w:val="none"/>
                    </w:rPr>
                    <w:t>6</w:t>
                  </w:r>
                </w:p>
              </w:tc>
              <w:tc>
                <w:tcPr>
                  <w:tcW w:w="1034"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循环水泵</w:t>
                  </w:r>
                </w:p>
              </w:tc>
              <w:tc>
                <w:tcPr>
                  <w:tcW w:w="1035"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55KW</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台</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3</w:t>
                  </w:r>
                  <w:r>
                    <w:rPr>
                      <w:rFonts w:hint="default" w:ascii="Times New Roman" w:hAnsi="Times New Roman" w:eastAsia="宋体" w:cs="Times New Roman"/>
                      <w:color w:val="auto"/>
                      <w:kern w:val="0"/>
                      <w:szCs w:val="21"/>
                      <w:highlight w:val="none"/>
                      <w:lang w:bidi="ar"/>
                    </w:rPr>
                    <w:t xml:space="preserve"> </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利用原有</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restart"/>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环保工程</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锅炉配套）</w:t>
                  </w: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w:t>
                  </w:r>
                </w:p>
              </w:tc>
              <w:tc>
                <w:tcPr>
                  <w:tcW w:w="1034"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TD型陶瓷多管旋风除尘器</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TD</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套</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利用原有</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w:t>
                  </w:r>
                </w:p>
              </w:tc>
              <w:tc>
                <w:tcPr>
                  <w:tcW w:w="1034"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eastAsia="zh-CN"/>
                    </w:rPr>
                    <w:t>布袋除尘器</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CMD480</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套</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利用原有</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w:t>
                  </w:r>
                </w:p>
              </w:tc>
              <w:tc>
                <w:tcPr>
                  <w:tcW w:w="1034"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eastAsia="zh-CN"/>
                    </w:rPr>
                    <w:t>钠碱法脱硫塔</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GCT</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套</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利用原有</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脱硫除尘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noWrap w:val="0"/>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w:t>
                  </w:r>
                </w:p>
              </w:tc>
              <w:tc>
                <w:tcPr>
                  <w:tcW w:w="1034"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风机</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个</w:t>
                  </w:r>
                </w:p>
              </w:tc>
              <w:tc>
                <w:tcPr>
                  <w:tcW w:w="567"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2</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利用原有</w:t>
                  </w:r>
                </w:p>
              </w:tc>
              <w:tc>
                <w:tcPr>
                  <w:tcW w:w="1035" w:type="dxa"/>
                  <w:noWrap w:val="0"/>
                  <w:vAlign w:val="center"/>
                </w:tcPr>
                <w:p>
                  <w:pPr>
                    <w:adjustRightInd w:val="0"/>
                    <w:snapToGrid w:val="0"/>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continue"/>
                </w:tcPr>
                <w:p>
                  <w:pPr>
                    <w:adjustRightInd w:val="0"/>
                    <w:snapToGrid w:val="0"/>
                    <w:spacing w:line="240" w:lineRule="auto"/>
                    <w:jc w:val="center"/>
                    <w:rPr>
                      <w:rFonts w:hint="default" w:ascii="Times New Roman" w:hAnsi="Times New Roman" w:eastAsia="宋体" w:cs="Times New Roman"/>
                      <w:bCs/>
                      <w:color w:val="auto"/>
                      <w:highlight w:val="none"/>
                    </w:rPr>
                  </w:pPr>
                </w:p>
              </w:tc>
              <w:tc>
                <w:tcPr>
                  <w:tcW w:w="567"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p>
              </w:tc>
              <w:tc>
                <w:tcPr>
                  <w:tcW w:w="1034"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eastAsia="zh-CN" w:bidi="ar"/>
                    </w:rPr>
                    <w:t>排气筒</w:t>
                  </w:r>
                </w:p>
              </w:tc>
              <w:tc>
                <w:tcPr>
                  <w:tcW w:w="1035"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40m</w:t>
                  </w:r>
                </w:p>
              </w:tc>
              <w:tc>
                <w:tcPr>
                  <w:tcW w:w="567"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eastAsia="zh-CN" w:bidi="ar"/>
                    </w:rPr>
                    <w:t>根</w:t>
                  </w:r>
                </w:p>
              </w:tc>
              <w:tc>
                <w:tcPr>
                  <w:tcW w:w="567" w:type="dxa"/>
                  <w:vAlign w:val="center"/>
                </w:tcPr>
                <w:p>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w:t>
                  </w:r>
                </w:p>
              </w:tc>
              <w:tc>
                <w:tcPr>
                  <w:tcW w:w="1035" w:type="dxa"/>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highlight w:val="none"/>
                      <w:lang w:val="en-US" w:eastAsia="zh-CN"/>
                    </w:rPr>
                    <w:t>利用原有</w:t>
                  </w:r>
                </w:p>
              </w:tc>
              <w:tc>
                <w:tcPr>
                  <w:tcW w:w="1035" w:type="dxa"/>
                  <w:vAlign w:val="center"/>
                </w:tcPr>
                <w:p>
                  <w:pPr>
                    <w:adjustRightInd w:val="0"/>
                    <w:snapToGrid w:val="0"/>
                    <w:spacing w:line="240" w:lineRule="auto"/>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highlight w:val="none"/>
                      <w:lang w:eastAsia="zh-CN"/>
                    </w:rPr>
                    <w:t>烟囱</w:t>
                  </w:r>
                </w:p>
              </w:tc>
            </w:tr>
          </w:tbl>
          <w:p>
            <w:pPr>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、主要原辅材料</w:t>
            </w:r>
            <w:r>
              <w:rPr>
                <w:rFonts w:hint="default" w:ascii="Times New Roman" w:hAnsi="Times New Roman" w:eastAsia="宋体" w:cs="Times New Roman"/>
                <w:b/>
                <w:bCs/>
                <w:color w:val="auto"/>
                <w:sz w:val="24"/>
                <w:highlight w:val="none"/>
                <w:lang w:val="en-US" w:eastAsia="zh-CN"/>
              </w:rPr>
              <w:t>及能源</w:t>
            </w:r>
            <w:r>
              <w:rPr>
                <w:rFonts w:hint="default" w:ascii="Times New Roman" w:hAnsi="Times New Roman" w:eastAsia="宋体" w:cs="Times New Roman"/>
                <w:b/>
                <w:bCs/>
                <w:color w:val="auto"/>
                <w:sz w:val="24"/>
                <w:highlight w:val="none"/>
              </w:rPr>
              <w:t>用量</w:t>
            </w:r>
          </w:p>
          <w:p>
            <w:p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w:t>
            </w:r>
            <w:r>
              <w:rPr>
                <w:rFonts w:hint="default" w:ascii="Times New Roman" w:hAnsi="Times New Roman" w:eastAsia="宋体"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rPr>
              <w:t xml:space="preserve">    本项目</w:t>
            </w:r>
            <w:r>
              <w:rPr>
                <w:rFonts w:hint="default" w:ascii="Times New Roman" w:hAnsi="Times New Roman" w:eastAsia="宋体" w:cs="Times New Roman"/>
                <w:b/>
                <w:bCs/>
                <w:color w:val="auto"/>
                <w:sz w:val="24"/>
                <w:highlight w:val="none"/>
                <w:lang w:val="en-US" w:eastAsia="zh-CN"/>
              </w:rPr>
              <w:t>原辅材料及能源</w:t>
            </w:r>
            <w:r>
              <w:rPr>
                <w:rFonts w:hint="default" w:ascii="Times New Roman" w:hAnsi="Times New Roman" w:eastAsia="宋体" w:cs="Times New Roman"/>
                <w:b/>
                <w:bCs/>
                <w:color w:val="auto"/>
                <w:sz w:val="24"/>
                <w:highlight w:val="none"/>
              </w:rPr>
              <w:t>消耗情况一览表</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2"/>
              <w:gridCol w:w="2039"/>
              <w:gridCol w:w="1822"/>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39" w:type="dxa"/>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消耗品</w:t>
                  </w:r>
                </w:p>
              </w:tc>
              <w:tc>
                <w:tcPr>
                  <w:tcW w:w="1822" w:type="dxa"/>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消耗量</w:t>
                  </w:r>
                </w:p>
              </w:tc>
              <w:tc>
                <w:tcPr>
                  <w:tcW w:w="3544" w:type="dxa"/>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39"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生物质</w:t>
                  </w:r>
                  <w:r>
                    <w:rPr>
                      <w:rFonts w:hint="default" w:ascii="Times New Roman" w:hAnsi="Times New Roman" w:eastAsia="宋体" w:cs="Times New Roman"/>
                      <w:color w:val="auto"/>
                      <w:sz w:val="21"/>
                      <w:szCs w:val="21"/>
                      <w:highlight w:val="none"/>
                      <w:lang w:val="en-US" w:eastAsia="zh-CN"/>
                    </w:rPr>
                    <w:t>燃料</w:t>
                  </w:r>
                </w:p>
              </w:tc>
              <w:tc>
                <w:tcPr>
                  <w:tcW w:w="18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1640</w:t>
                  </w:r>
                  <w:r>
                    <w:rPr>
                      <w:rFonts w:hint="default" w:ascii="Times New Roman" w:hAnsi="Times New Roman" w:eastAsia="宋体" w:cs="Times New Roman"/>
                      <w:color w:val="auto"/>
                      <w:sz w:val="21"/>
                      <w:szCs w:val="21"/>
                      <w:highlight w:val="none"/>
                    </w:rPr>
                    <w:t>t/a</w:t>
                  </w:r>
                </w:p>
              </w:tc>
              <w:tc>
                <w:tcPr>
                  <w:tcW w:w="3544"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堆存于封闭</w:t>
                  </w:r>
                  <w:r>
                    <w:rPr>
                      <w:rFonts w:hint="default" w:ascii="Times New Roman" w:hAnsi="Times New Roman" w:eastAsia="宋体" w:cs="Times New Roman"/>
                      <w:color w:val="auto"/>
                      <w:sz w:val="21"/>
                      <w:szCs w:val="21"/>
                      <w:highlight w:val="none"/>
                      <w:lang w:eastAsia="zh-CN"/>
                    </w:rPr>
                    <w:t>燃料库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039"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氢氧化钠</w:t>
                  </w:r>
                </w:p>
              </w:tc>
              <w:tc>
                <w:tcPr>
                  <w:tcW w:w="182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r>
                    <w:rPr>
                      <w:rFonts w:hint="default" w:ascii="Times New Roman" w:hAnsi="Times New Roman" w:eastAsia="宋体" w:cs="Times New Roman"/>
                      <w:color w:val="auto"/>
                      <w:sz w:val="21"/>
                      <w:szCs w:val="21"/>
                      <w:highlight w:val="none"/>
                    </w:rPr>
                    <w:t>t/a</w:t>
                  </w:r>
                </w:p>
              </w:tc>
              <w:tc>
                <w:tcPr>
                  <w:tcW w:w="3544"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堆存于封闭</w:t>
                  </w:r>
                  <w:r>
                    <w:rPr>
                      <w:rFonts w:hint="default" w:ascii="Times New Roman" w:hAnsi="Times New Roman" w:eastAsia="宋体" w:cs="Times New Roman"/>
                      <w:color w:val="auto"/>
                      <w:sz w:val="21"/>
                      <w:szCs w:val="21"/>
                      <w:highlight w:val="none"/>
                      <w:lang w:val="en-US" w:eastAsia="zh-CN"/>
                    </w:rPr>
                    <w:t>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203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tc>
              <w:tc>
                <w:tcPr>
                  <w:tcW w:w="18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3492</w:t>
                  </w:r>
                  <w:r>
                    <w:rPr>
                      <w:rFonts w:hint="default" w:ascii="Times New Roman" w:hAnsi="Times New Roman" w:eastAsia="宋体" w:cs="Times New Roman"/>
                      <w:color w:val="auto"/>
                      <w:sz w:val="21"/>
                      <w:szCs w:val="21"/>
                      <w:highlight w:val="none"/>
                    </w:rPr>
                    <w:t>t/a</w:t>
                  </w:r>
                </w:p>
              </w:tc>
              <w:tc>
                <w:tcPr>
                  <w:tcW w:w="354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7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03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182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43.74</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KWh/a</w:t>
                  </w:r>
                </w:p>
              </w:tc>
              <w:tc>
                <w:tcPr>
                  <w:tcW w:w="354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spacing w:line="360" w:lineRule="auto"/>
              <w:ind w:firstLine="0" w:firstLineChars="0"/>
              <w:jc w:val="center"/>
              <w:rPr>
                <w:rFonts w:hint="default" w:ascii="Times New Roman" w:hAnsi="Times New Roman" w:eastAsia="宋体" w:cs="Times New Roman"/>
                <w:b/>
                <w:color w:val="auto"/>
                <w:sz w:val="24"/>
                <w:szCs w:val="24"/>
                <w:highlight w:val="none"/>
              </w:rPr>
            </w:pPr>
          </w:p>
          <w:p>
            <w:pPr>
              <w:spacing w:line="360" w:lineRule="auto"/>
              <w:ind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2-8</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生物质</w:t>
            </w:r>
            <w:r>
              <w:rPr>
                <w:rFonts w:hint="default" w:ascii="Times New Roman" w:hAnsi="Times New Roman" w:eastAsia="宋体" w:cs="Times New Roman"/>
                <w:b/>
                <w:color w:val="auto"/>
                <w:sz w:val="24"/>
                <w:szCs w:val="24"/>
                <w:highlight w:val="none"/>
              </w:rPr>
              <w:t>成分分析表</w:t>
            </w:r>
          </w:p>
          <w:tbl>
            <w:tblPr>
              <w:tblStyle w:val="22"/>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0"/>
              <w:gridCol w:w="1916"/>
              <w:gridCol w:w="1559"/>
              <w:gridCol w:w="1776"/>
              <w:gridCol w:w="17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0"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9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符号</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数值</w:t>
                  </w:r>
                </w:p>
              </w:tc>
              <w:tc>
                <w:tcPr>
                  <w:tcW w:w="177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9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收到基灰分</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Ad</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4.37</w:t>
                  </w:r>
                </w:p>
              </w:tc>
              <w:tc>
                <w:tcPr>
                  <w:tcW w:w="177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9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收到基硫分</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St.d</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0.07</w:t>
                  </w:r>
                </w:p>
              </w:tc>
              <w:tc>
                <w:tcPr>
                  <w:tcW w:w="177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9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收到基低位发热量</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Qnet</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ar</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19.921</w:t>
                  </w:r>
                </w:p>
              </w:tc>
              <w:tc>
                <w:tcPr>
                  <w:tcW w:w="177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MJ/kg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9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飞灰可燃物含量</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C</w:t>
                  </w:r>
                  <w:r>
                    <w:rPr>
                      <w:rFonts w:hint="default" w:ascii="Times New Roman" w:hAnsi="Times New Roman" w:eastAsia="宋体" w:cs="Times New Roman"/>
                      <w:color w:val="auto"/>
                      <w:szCs w:val="21"/>
                      <w:highlight w:val="none"/>
                      <w:vertAlign w:val="subscript"/>
                    </w:rPr>
                    <w:t>fh</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1.86</w:t>
                  </w:r>
                </w:p>
              </w:tc>
              <w:tc>
                <w:tcPr>
                  <w:tcW w:w="177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w:t>
                  </w:r>
                </w:p>
              </w:tc>
            </w:tr>
          </w:tbl>
          <w:p>
            <w:pPr>
              <w:keepNext w:val="0"/>
              <w:keepLines w:val="0"/>
              <w:pageBreakBefore w:val="0"/>
              <w:kinsoku/>
              <w:wordWrap/>
              <w:overflowPunct/>
              <w:topLinePunct w:val="0"/>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、工作制度及劳动定员</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本项目运行期为10月中旬~次年4月中旬，全年运营180天，每天运行24小时；执行三班两倒制。</w:t>
            </w:r>
            <w:r>
              <w:rPr>
                <w:rFonts w:hint="default" w:ascii="Times New Roman" w:hAnsi="Times New Roman" w:eastAsia="宋体" w:cs="Times New Roman"/>
                <w:color w:val="auto"/>
                <w:sz w:val="24"/>
                <w:szCs w:val="24"/>
                <w:highlight w:val="none"/>
                <w:lang w:val="en-US" w:eastAsia="zh-CN"/>
              </w:rPr>
              <w:t>本次工程不新增工作人员，改建后，全厂</w:t>
            </w:r>
            <w:r>
              <w:rPr>
                <w:rFonts w:hint="default" w:ascii="Times New Roman" w:hAnsi="Times New Roman" w:eastAsia="宋体" w:cs="Times New Roman"/>
                <w:color w:val="auto"/>
                <w:sz w:val="24"/>
                <w:szCs w:val="24"/>
                <w:highlight w:val="none"/>
                <w:lang w:eastAsia="zh-CN"/>
              </w:rPr>
              <w:t>劳动定员</w:t>
            </w:r>
            <w:r>
              <w:rPr>
                <w:rFonts w:hint="default" w:ascii="Times New Roman" w:hAnsi="Times New Roman" w:eastAsia="宋体" w:cs="Times New Roman"/>
                <w:color w:val="auto"/>
                <w:sz w:val="24"/>
                <w:szCs w:val="24"/>
                <w:highlight w:val="none"/>
                <w:lang w:val="en-US" w:eastAsia="zh-CN"/>
              </w:rPr>
              <w:t>仍为5人。</w:t>
            </w:r>
          </w:p>
          <w:p>
            <w:pPr>
              <w:keepNext w:val="0"/>
              <w:keepLines w:val="0"/>
              <w:pageBreakBefore w:val="0"/>
              <w:kinsoku/>
              <w:wordWrap/>
              <w:overflowPunct/>
              <w:topLinePunct w:val="0"/>
              <w:bidi w:val="0"/>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8</w:t>
            </w:r>
            <w:r>
              <w:rPr>
                <w:rFonts w:hint="default" w:ascii="Times New Roman" w:hAnsi="Times New Roman" w:eastAsia="宋体" w:cs="Times New Roman"/>
                <w:b/>
                <w:color w:val="auto"/>
                <w:sz w:val="24"/>
                <w:szCs w:val="24"/>
                <w:highlight w:val="none"/>
              </w:rPr>
              <w:t>、公用工程</w:t>
            </w:r>
          </w:p>
          <w:p>
            <w:pPr>
              <w:keepNext w:val="0"/>
              <w:keepLines w:val="0"/>
              <w:pageBreakBefore w:val="0"/>
              <w:kinsoku/>
              <w:wordWrap/>
              <w:overflowPunct/>
              <w:topLinePunct w:val="0"/>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.1水源：</w:t>
            </w:r>
          </w:p>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本项目供水来自厂区现有</w:t>
            </w:r>
            <w:r>
              <w:rPr>
                <w:rFonts w:hint="default" w:ascii="Times New Roman" w:hAnsi="Times New Roman" w:eastAsia="宋体" w:cs="Times New Roman"/>
                <w:color w:val="auto"/>
                <w:sz w:val="24"/>
                <w:szCs w:val="24"/>
                <w:highlight w:val="none"/>
                <w:lang w:eastAsia="zh-CN"/>
              </w:rPr>
              <w:t>自来水管网</w:t>
            </w:r>
            <w:r>
              <w:rPr>
                <w:rFonts w:hint="default" w:ascii="Times New Roman" w:hAnsi="Times New Roman" w:eastAsia="宋体" w:cs="Times New Roman"/>
                <w:color w:val="auto"/>
                <w:sz w:val="24"/>
                <w:szCs w:val="24"/>
                <w:highlight w:val="none"/>
              </w:rPr>
              <w:t>，用水主要为锅炉用水、出渣机补水</w:t>
            </w:r>
            <w:r>
              <w:rPr>
                <w:rFonts w:hint="default" w:ascii="Times New Roman" w:hAnsi="Times New Roman" w:eastAsia="宋体" w:cs="Times New Roman"/>
                <w:color w:val="auto"/>
                <w:sz w:val="24"/>
                <w:szCs w:val="24"/>
                <w:highlight w:val="none"/>
                <w:lang w:eastAsia="zh-CN"/>
              </w:rPr>
              <w:t>、钠碱法脱硫塔用水</w:t>
            </w:r>
            <w:r>
              <w:rPr>
                <w:rFonts w:hint="default" w:ascii="Times New Roman" w:hAnsi="Times New Roman" w:eastAsia="宋体" w:cs="Times New Roman"/>
                <w:color w:val="auto"/>
                <w:sz w:val="24"/>
                <w:szCs w:val="24"/>
                <w:highlight w:val="none"/>
                <w:lang w:val="en-US" w:eastAsia="zh-CN"/>
              </w:rPr>
              <w:t>和生活用水</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.2给水</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①锅炉用水</w:t>
            </w:r>
          </w:p>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本项目1台</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产生的热水输送至用热部门后，最终返回</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锅炉排污水按循环水量的2%计算，则锅炉排污水排放量为</w:t>
            </w:r>
            <w:r>
              <w:rPr>
                <w:rFonts w:hint="default"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864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/a）；锅炉内热水加热过程中，水分</w:t>
            </w:r>
            <w:r>
              <w:rPr>
                <w:rFonts w:hint="default" w:ascii="Times New Roman" w:hAnsi="Times New Roman" w:eastAsia="宋体" w:cs="Times New Roman"/>
                <w:color w:val="auto"/>
                <w:sz w:val="24"/>
                <w:szCs w:val="24"/>
                <w:highlight w:val="none"/>
                <w:lang w:val="zh-CN"/>
              </w:rPr>
              <w:t>损失量</w:t>
            </w:r>
            <w:r>
              <w:rPr>
                <w:rFonts w:hint="default" w:ascii="Times New Roman" w:hAnsi="Times New Roman" w:eastAsia="宋体" w:cs="Times New Roman"/>
                <w:color w:val="auto"/>
                <w:sz w:val="24"/>
                <w:szCs w:val="24"/>
                <w:highlight w:val="none"/>
              </w:rPr>
              <w:t>按循环水量的3%计算，则锅炉循环水损失量为0.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1296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锅炉用水通过软水制备装置补给，本项目1台</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软水消耗量为0.</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2160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/a），软水制备装置的软水产出率按80%计算，因此，软水制备装置消耗的新鲜水量为</w:t>
            </w:r>
            <w:r>
              <w:rPr>
                <w:rFonts w:hint="default" w:ascii="Times New Roman" w:hAnsi="Times New Roman" w:eastAsia="宋体" w:cs="Times New Roman"/>
                <w:color w:val="auto"/>
                <w:sz w:val="24"/>
                <w:szCs w:val="24"/>
                <w:highlight w:val="none"/>
                <w:lang w:val="en-US" w:eastAsia="zh-CN"/>
              </w:rPr>
              <w:t>0.625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2700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pPr>
              <w:pStyle w:val="10"/>
              <w:keepNext w:val="0"/>
              <w:keepLines w:val="0"/>
              <w:pageBreakBefore w:val="0"/>
              <w:kinsoku/>
              <w:wordWrap/>
              <w:overflowPunct/>
              <w:topLinePunct w:val="0"/>
              <w:bidi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②出渣机补水</w:t>
            </w:r>
          </w:p>
          <w:p>
            <w:pPr>
              <w:pStyle w:val="10"/>
              <w:keepNext w:val="0"/>
              <w:keepLines w:val="0"/>
              <w:pageBreakBefore w:val="0"/>
              <w:kinsoku/>
              <w:wordWrap/>
              <w:overflowPunct/>
              <w:topLinePunct w:val="0"/>
              <w:bidi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出渣采用湿出渣方式，由于出渣过程中温度较高，水与锅炉炉渣直接接触时，出渣废水由于炉渣热量的作用成为水蒸汽外排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出渣废水循环使用，不外排。出渣废水蒸发损失量按锅炉炉渣量的30%计算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本项目生物质热水</w:t>
            </w:r>
            <w:r>
              <w:rPr>
                <w:rFonts w:hint="default" w:ascii="Times New Roman" w:hAnsi="Times New Roman" w:eastAsia="宋体" w:cs="Times New Roman"/>
                <w:color w:val="auto"/>
                <w:sz w:val="24"/>
                <w:szCs w:val="24"/>
                <w:highlight w:val="none"/>
              </w:rPr>
              <w:t>锅炉炉渣量</w:t>
            </w:r>
            <w:r>
              <w:rPr>
                <w:rFonts w:hint="default" w:ascii="Times New Roman" w:hAnsi="Times New Roman" w:eastAsia="宋体" w:cs="Times New Roman"/>
                <w:color w:val="auto"/>
                <w:sz w:val="24"/>
                <w:szCs w:val="24"/>
                <w:highlight w:val="none"/>
                <w:lang w:eastAsia="zh-CN"/>
              </w:rPr>
              <w:t>为216.4</w:t>
            </w:r>
            <w:r>
              <w:rPr>
                <w:rFonts w:hint="default" w:ascii="Times New Roman" w:hAnsi="Times New Roman" w:eastAsia="宋体" w:cs="Times New Roman"/>
                <w:color w:val="auto"/>
                <w:sz w:val="24"/>
                <w:szCs w:val="24"/>
                <w:highlight w:val="none"/>
                <w:lang w:val="en-US" w:eastAsia="zh-CN"/>
              </w:rPr>
              <w:t>t/a，则</w:t>
            </w:r>
            <w:r>
              <w:rPr>
                <w:rFonts w:hint="default" w:ascii="Times New Roman" w:hAnsi="Times New Roman" w:eastAsia="宋体" w:cs="Times New Roman"/>
                <w:color w:val="auto"/>
                <w:sz w:val="24"/>
                <w:szCs w:val="24"/>
                <w:highlight w:val="none"/>
              </w:rPr>
              <w:t>出渣机补水量为</w:t>
            </w:r>
            <w:r>
              <w:rPr>
                <w:rFonts w:hint="default" w:ascii="Times New Roman" w:hAnsi="Times New Roman" w:eastAsia="宋体"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lang w:eastAsia="zh-CN"/>
              </w:rPr>
              <w:t>软水制备废水和锅炉排污水</w:t>
            </w:r>
            <w:r>
              <w:rPr>
                <w:rFonts w:hint="default" w:ascii="Times New Roman" w:hAnsi="Times New Roman" w:eastAsia="宋体" w:cs="Times New Roman"/>
                <w:color w:val="auto"/>
                <w:sz w:val="24"/>
                <w:szCs w:val="24"/>
                <w:highlight w:val="none"/>
                <w:lang w:val="en-US" w:eastAsia="zh-CN"/>
              </w:rPr>
              <w:t>供给</w:t>
            </w:r>
            <w:r>
              <w:rPr>
                <w:rFonts w:hint="default" w:ascii="Times New Roman" w:hAnsi="Times New Roman" w:eastAsia="宋体" w:cs="Times New Roman"/>
                <w:color w:val="auto"/>
                <w:sz w:val="24"/>
                <w:szCs w:val="24"/>
                <w:highlight w:val="none"/>
                <w:lang w:eastAsia="zh-CN"/>
              </w:rPr>
              <w:t>，不消耗新鲜水</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kinsoku/>
              <w:wordWrap/>
              <w:overflowPunct/>
              <w:topLinePunct w:val="0"/>
              <w:autoSpaceDN/>
              <w:bidi w:val="0"/>
              <w:spacing w:before="0"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en-US" w:eastAsia="zh-CN"/>
              </w:rPr>
              <w:t>灰渣</w:t>
            </w:r>
            <w:r>
              <w:rPr>
                <w:rFonts w:hint="default" w:ascii="Times New Roman" w:hAnsi="Times New Roman" w:eastAsia="宋体" w:cs="Times New Roman"/>
                <w:color w:val="auto"/>
                <w:sz w:val="24"/>
                <w:szCs w:val="24"/>
                <w:highlight w:val="none"/>
                <w:lang w:eastAsia="zh-CN"/>
              </w:rPr>
              <w:t>间抑尘用水</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本项目灰渣间</w:t>
            </w:r>
            <w:r>
              <w:rPr>
                <w:rFonts w:hint="default" w:ascii="Times New Roman" w:hAnsi="Times New Roman" w:eastAsia="宋体" w:cs="Times New Roman"/>
                <w:color w:val="auto"/>
                <w:sz w:val="24"/>
                <w:szCs w:val="24"/>
                <w:highlight w:val="none"/>
              </w:rPr>
              <w:t>面积为</w:t>
            </w:r>
            <w:r>
              <w:rPr>
                <w:rFonts w:hint="default" w:ascii="Times New Roman" w:hAnsi="Times New Roman" w:eastAsia="宋体" w:cs="Times New Roman"/>
                <w:color w:val="auto"/>
                <w:sz w:val="24"/>
                <w:szCs w:val="24"/>
                <w:highlight w:val="none"/>
                <w:lang w:val="en-US" w:eastAsia="zh-CN"/>
              </w:rPr>
              <w:t>400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，根据《内蒙古自治区行业用水定额标准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内水资[2019]165号），场地喷洒用水定额按1.3L/</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·次）计，运营期共</w:t>
            </w:r>
            <w:r>
              <w:rPr>
                <w:rFonts w:hint="default" w:ascii="Times New Roman" w:hAnsi="Times New Roman" w:eastAsia="宋体"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天，则</w:t>
            </w:r>
            <w:r>
              <w:rPr>
                <w:rFonts w:hint="default" w:ascii="Times New Roman" w:hAnsi="Times New Roman" w:eastAsia="宋体" w:cs="Times New Roman"/>
                <w:color w:val="auto"/>
                <w:sz w:val="24"/>
                <w:szCs w:val="24"/>
                <w:highlight w:val="none"/>
                <w:lang w:val="en-US" w:eastAsia="zh-CN"/>
              </w:rPr>
              <w:t>灰渣</w:t>
            </w:r>
            <w:r>
              <w:rPr>
                <w:rFonts w:hint="default" w:ascii="Times New Roman" w:hAnsi="Times New Roman" w:eastAsia="宋体" w:cs="Times New Roman"/>
                <w:color w:val="auto"/>
                <w:sz w:val="24"/>
                <w:szCs w:val="24"/>
                <w:highlight w:val="none"/>
                <w:lang w:eastAsia="zh-CN"/>
              </w:rPr>
              <w:t>间</w:t>
            </w:r>
            <w:r>
              <w:rPr>
                <w:rFonts w:hint="default" w:ascii="Times New Roman" w:hAnsi="Times New Roman" w:eastAsia="宋体" w:cs="Times New Roman"/>
                <w:color w:val="auto"/>
                <w:sz w:val="24"/>
                <w:szCs w:val="24"/>
                <w:highlight w:val="none"/>
                <w:lang w:val="en-US" w:eastAsia="zh-CN"/>
              </w:rPr>
              <w:t>降尘用水</w:t>
            </w:r>
            <w:r>
              <w:rPr>
                <w:rFonts w:hint="default" w:ascii="Times New Roman" w:hAnsi="Times New Roman" w:eastAsia="宋体" w:cs="Times New Roman"/>
                <w:color w:val="auto"/>
                <w:sz w:val="24"/>
                <w:szCs w:val="24"/>
                <w:highlight w:val="none"/>
              </w:rPr>
              <w:t>量约</w:t>
            </w:r>
            <w:r>
              <w:rPr>
                <w:rFonts w:hint="default" w:ascii="Times New Roman" w:hAnsi="Times New Roman" w:eastAsia="宋体" w:cs="Times New Roman"/>
                <w:color w:val="auto"/>
                <w:sz w:val="24"/>
                <w:szCs w:val="24"/>
                <w:highlight w:val="none"/>
                <w:lang w:val="en-US" w:eastAsia="zh-CN"/>
              </w:rPr>
              <w:t>0.52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lang w:eastAsia="zh-CN"/>
              </w:rPr>
              <w:t>软水制备废水和锅炉排污水</w:t>
            </w:r>
            <w:r>
              <w:rPr>
                <w:rFonts w:hint="default" w:ascii="Times New Roman" w:hAnsi="Times New Roman" w:eastAsia="宋体" w:cs="Times New Roman"/>
                <w:color w:val="auto"/>
                <w:sz w:val="24"/>
                <w:szCs w:val="24"/>
                <w:highlight w:val="none"/>
                <w:lang w:val="en-US" w:eastAsia="zh-CN"/>
              </w:rPr>
              <w:t>供给</w:t>
            </w:r>
            <w:r>
              <w:rPr>
                <w:rFonts w:hint="default" w:ascii="Times New Roman" w:hAnsi="Times New Roman" w:eastAsia="宋体" w:cs="Times New Roman"/>
                <w:color w:val="auto"/>
                <w:sz w:val="24"/>
                <w:szCs w:val="24"/>
                <w:highlight w:val="none"/>
                <w:lang w:eastAsia="zh-CN"/>
              </w:rPr>
              <w:t>，不消耗新鲜水</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kinsoku/>
              <w:wordWrap/>
              <w:overflowPunct/>
              <w:topLinePunct w:val="0"/>
              <w:bidi w:val="0"/>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4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脱硫</w:t>
            </w:r>
            <w:r>
              <w:rPr>
                <w:rFonts w:hint="default" w:ascii="Times New Roman" w:hAnsi="Times New Roman" w:eastAsia="宋体" w:cs="Times New Roman"/>
                <w:color w:val="auto"/>
                <w:sz w:val="24"/>
                <w:szCs w:val="24"/>
                <w:highlight w:val="none"/>
              </w:rPr>
              <w:t>用水</w:t>
            </w:r>
          </w:p>
          <w:p>
            <w:pPr>
              <w:keepNext w:val="0"/>
              <w:keepLines w:val="0"/>
              <w:pageBreakBefore w:val="0"/>
              <w:kinsoku/>
              <w:wordWrap/>
              <w:overflowPunct/>
              <w:topLinePunct w:val="0"/>
              <w:autoSpaceDE w:val="0"/>
              <w:autoSpaceDN w:val="0"/>
              <w:bidi w:val="0"/>
              <w:adjustRightIn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rPr>
              <w:t>设置1座</w:t>
            </w:r>
            <w:r>
              <w:rPr>
                <w:rFonts w:hint="default" w:ascii="Times New Roman" w:hAnsi="Times New Roman" w:eastAsia="宋体" w:cs="Times New Roman"/>
                <w:color w:val="auto"/>
                <w:sz w:val="24"/>
                <w:szCs w:val="24"/>
                <w:lang w:eastAsia="zh-CN"/>
              </w:rPr>
              <w:t>钠碱法脱硫塔</w:t>
            </w:r>
            <w:r>
              <w:rPr>
                <w:rFonts w:hint="default" w:ascii="Times New Roman" w:hAnsi="Times New Roman" w:eastAsia="宋体" w:cs="Times New Roman"/>
                <w:color w:val="auto"/>
                <w:sz w:val="24"/>
                <w:szCs w:val="24"/>
              </w:rPr>
              <w:t>，脱硫废水经三级沉淀池循环，不外排；由于生物质热风炉烟气温度较高，脱硫废水与生物质热风炉烟气直接接触时，脱硫废水由于烟气热量的作用成为水蒸汽随烟气外排。脱硫废水循环水量为</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/d，蒸发损失量按</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%计，即</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sz w:val="24"/>
                <w:szCs w:val="24"/>
                <w:highlight w:val="none"/>
              </w:rPr>
              <w:t>需补充水量为</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overflowPunct/>
              <w:topLinePunct w:val="0"/>
              <w:bidi w:val="0"/>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⑤生活用水</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w:t>
            </w:r>
            <w:r>
              <w:rPr>
                <w:rFonts w:hint="default" w:ascii="Times New Roman" w:hAnsi="Times New Roman" w:eastAsia="宋体" w:cs="Times New Roman"/>
                <w:color w:val="auto"/>
                <w:sz w:val="24"/>
                <w:szCs w:val="24"/>
                <w:highlight w:val="none"/>
                <w:lang w:eastAsia="zh-CN"/>
              </w:rPr>
              <w:t>改建</w:t>
            </w:r>
            <w:r>
              <w:rPr>
                <w:rFonts w:hint="default" w:ascii="Times New Roman" w:hAnsi="Times New Roman" w:eastAsia="宋体" w:cs="Times New Roman"/>
                <w:color w:val="auto"/>
                <w:sz w:val="24"/>
                <w:szCs w:val="24"/>
                <w:highlight w:val="none"/>
              </w:rPr>
              <w:t>项目不新增劳动定员，工作人员为5人，</w:t>
            </w:r>
            <w:r>
              <w:rPr>
                <w:rFonts w:hint="default" w:ascii="Times New Roman" w:hAnsi="Times New Roman" w:eastAsia="宋体" w:cs="Times New Roman"/>
                <w:color w:val="auto"/>
                <w:sz w:val="24"/>
                <w:szCs w:val="24"/>
                <w:highlight w:val="none"/>
                <w:lang w:bidi="ar"/>
              </w:rPr>
              <w:t>根据《内蒙古自治区行业用水定额》</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DB15/T385-2019），用水量为80L/人.天，生活用水量为</w:t>
            </w:r>
            <w:r>
              <w:rPr>
                <w:rFonts w:hint="default" w:ascii="Times New Roman" w:hAnsi="Times New Roman" w:eastAsia="宋体" w:cs="Times New Roman"/>
                <w:color w:val="auto"/>
                <w:sz w:val="24"/>
                <w:szCs w:val="24"/>
                <w:highlight w:val="none"/>
                <w:lang w:val="en-US" w:eastAsia="zh-CN" w:bidi="ar"/>
              </w:rPr>
              <w:t>0.4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72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/a</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w:t>
            </w:r>
          </w:p>
          <w:p>
            <w:pPr>
              <w:pStyle w:val="2"/>
              <w:keepNext w:val="0"/>
              <w:keepLines w:val="0"/>
              <w:pageBreakBefore w:val="0"/>
              <w:kinsoku/>
              <w:wordWrap/>
              <w:overflowPunct/>
              <w:topLinePunct w:val="0"/>
              <w:bidi w:val="0"/>
              <w:spacing w:after="0" w:afterLines="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综上所述，全</w:t>
            </w:r>
            <w:r>
              <w:rPr>
                <w:rFonts w:hint="default" w:ascii="Times New Roman" w:hAnsi="Times New Roman" w:eastAsia="宋体" w:cs="Times New Roman"/>
                <w:color w:val="auto"/>
                <w:sz w:val="24"/>
                <w:szCs w:val="24"/>
                <w:highlight w:val="none"/>
                <w:lang w:eastAsia="zh-CN"/>
              </w:rPr>
              <w:t>年</w:t>
            </w:r>
            <w:r>
              <w:rPr>
                <w:rFonts w:hint="default" w:ascii="Times New Roman" w:hAnsi="Times New Roman" w:eastAsia="宋体" w:cs="Times New Roman"/>
                <w:color w:val="auto"/>
                <w:sz w:val="24"/>
                <w:szCs w:val="24"/>
                <w:highlight w:val="none"/>
              </w:rPr>
              <w:t>新水用量为</w:t>
            </w:r>
            <w:r>
              <w:rPr>
                <w:rFonts w:hint="default" w:ascii="Times New Roman" w:hAnsi="Times New Roman" w:eastAsia="宋体" w:cs="Times New Roman"/>
                <w:color w:val="auto"/>
                <w:sz w:val="24"/>
                <w:szCs w:val="24"/>
                <w:highlight w:val="none"/>
                <w:lang w:val="en-US" w:eastAsia="zh-CN"/>
              </w:rPr>
              <w:t>3492m³/a。</w:t>
            </w:r>
          </w:p>
          <w:p>
            <w:pPr>
              <w:keepNext w:val="0"/>
              <w:keepLines w:val="0"/>
              <w:pageBreakBefore w:val="0"/>
              <w:kinsoku/>
              <w:wordWrap/>
              <w:overflowPunct/>
              <w:topLinePunct w:val="0"/>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.3排水</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①锅炉定期排污水</w:t>
            </w:r>
          </w:p>
          <w:p>
            <w:pPr>
              <w:pStyle w:val="10"/>
              <w:keepNext w:val="0"/>
              <w:keepLines w:val="0"/>
              <w:pageBreakBefore w:val="0"/>
              <w:kinsoku/>
              <w:wordWrap/>
              <w:overflowPunct/>
              <w:topLinePunct w:val="0"/>
              <w:bidi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本项目1台</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排污水按循环水量的2%计算，则锅炉排污水排放量为0.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864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/a），用于</w:t>
            </w:r>
            <w:r>
              <w:rPr>
                <w:rFonts w:hint="default" w:ascii="Times New Roman" w:hAnsi="Times New Roman" w:eastAsia="宋体" w:cs="Times New Roman"/>
                <w:color w:val="auto"/>
                <w:sz w:val="24"/>
                <w:szCs w:val="24"/>
                <w:highlight w:val="none"/>
                <w:lang w:eastAsia="zh-CN"/>
              </w:rPr>
              <w:t>灰渣间</w:t>
            </w:r>
            <w:r>
              <w:rPr>
                <w:rFonts w:hint="default" w:ascii="Times New Roman" w:hAnsi="Times New Roman" w:eastAsia="宋体" w:cs="Times New Roman"/>
                <w:color w:val="auto"/>
                <w:sz w:val="24"/>
                <w:szCs w:val="24"/>
                <w:highlight w:val="none"/>
              </w:rPr>
              <w:t>抑尘、出渣机补水、空地降尘洒水，不外排</w:t>
            </w:r>
            <w:r>
              <w:rPr>
                <w:rFonts w:hint="default" w:ascii="Times New Roman" w:hAnsi="Times New Roman" w:eastAsia="宋体" w:cs="Times New Roman"/>
                <w:color w:val="auto"/>
                <w:kern w:val="2"/>
                <w:sz w:val="24"/>
                <w:szCs w:val="24"/>
                <w:highlight w:val="none"/>
                <w:lang w:eastAsia="zh-CN" w:bidi="ar"/>
              </w:rPr>
              <w:t>。</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②软水制备废水</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本项目软水制备</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排</w:t>
            </w:r>
            <w:r>
              <w:rPr>
                <w:rFonts w:hint="default" w:ascii="Times New Roman" w:hAnsi="Times New Roman" w:eastAsia="宋体" w:cs="Times New Roman"/>
                <w:color w:val="auto"/>
                <w:sz w:val="24"/>
                <w:szCs w:val="24"/>
                <w:highlight w:val="none"/>
                <w:lang w:eastAsia="zh-CN"/>
              </w:rPr>
              <w:t>放</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用于</w:t>
            </w:r>
            <w:r>
              <w:rPr>
                <w:rFonts w:hint="default" w:ascii="Times New Roman" w:hAnsi="Times New Roman" w:eastAsia="宋体" w:cs="Times New Roman"/>
                <w:color w:val="auto"/>
                <w:sz w:val="24"/>
                <w:szCs w:val="24"/>
                <w:highlight w:val="none"/>
                <w:lang w:eastAsia="zh-CN"/>
              </w:rPr>
              <w:t>灰渣间</w:t>
            </w:r>
            <w:r>
              <w:rPr>
                <w:rFonts w:hint="default" w:ascii="Times New Roman" w:hAnsi="Times New Roman" w:eastAsia="宋体" w:cs="Times New Roman"/>
                <w:color w:val="auto"/>
                <w:sz w:val="24"/>
                <w:szCs w:val="24"/>
                <w:highlight w:val="none"/>
              </w:rPr>
              <w:t>抑尘、出渣机补水、空地降尘洒水，不外排。</w:t>
            </w:r>
          </w:p>
          <w:p>
            <w:pPr>
              <w:keepNext w:val="0"/>
              <w:keepLines w:val="0"/>
              <w:pageBreakBefore w:val="0"/>
              <w:widowControl/>
              <w:kinsoku/>
              <w:wordWrap/>
              <w:overflowPunct/>
              <w:topLinePunct w:val="0"/>
              <w:bidi w:val="0"/>
              <w:spacing w:line="360" w:lineRule="auto"/>
              <w:ind w:left="0" w:leftChars="0" w:firstLine="480" w:firstLineChars="200"/>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③出渣机废水</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出渣机废水循环使用，定期补水，不外排。</w:t>
            </w:r>
          </w:p>
          <w:p>
            <w:pPr>
              <w:keepNext w:val="0"/>
              <w:keepLines w:val="0"/>
              <w:pageBreakBefore w:val="0"/>
              <w:widowControl/>
              <w:kinsoku/>
              <w:wordWrap/>
              <w:overflowPunct/>
              <w:topLinePunct w:val="0"/>
              <w:bidi w:val="0"/>
              <w:spacing w:line="360" w:lineRule="auto"/>
              <w:ind w:left="0" w:leftChars="0" w:firstLine="480" w:firstLineChars="200"/>
              <w:textAlignment w:val="auto"/>
              <w:outlineLvl w:val="1"/>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4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灰渣间抑尘废水</w:t>
            </w:r>
          </w:p>
          <w:p>
            <w:pPr>
              <w:keepNext w:val="0"/>
              <w:keepLines w:val="0"/>
              <w:pageBreakBefore w:val="0"/>
              <w:widowControl/>
              <w:kinsoku/>
              <w:wordWrap/>
              <w:overflowPunct/>
              <w:topLinePunct w:val="0"/>
              <w:bidi w:val="0"/>
              <w:spacing w:line="360" w:lineRule="auto"/>
              <w:ind w:left="0" w:leftChars="0" w:firstLine="480" w:firstLineChars="200"/>
              <w:textAlignment w:val="auto"/>
              <w:outlineLvl w:val="1"/>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灰渣间抑尘用水</w:t>
            </w:r>
            <w:r>
              <w:rPr>
                <w:rFonts w:hint="default" w:ascii="Times New Roman" w:hAnsi="Times New Roman" w:eastAsia="宋体" w:cs="Times New Roman"/>
                <w:color w:val="auto"/>
                <w:sz w:val="24"/>
                <w:szCs w:val="24"/>
                <w:highlight w:val="none"/>
              </w:rPr>
              <w:t>全部被灰渣吸收，通过自然蒸发，无废水产生</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kinsoku/>
              <w:wordWrap/>
              <w:overflowPunct/>
              <w:topLinePunct w:val="0"/>
              <w:bidi w:val="0"/>
              <w:spacing w:line="360" w:lineRule="auto"/>
              <w:ind w:left="0" w:leftChars="0" w:firstLine="480" w:firstLineChars="200"/>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5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钠碱法脱硫塔废</w:t>
            </w:r>
            <w:r>
              <w:rPr>
                <w:rFonts w:hint="default" w:ascii="Times New Roman" w:hAnsi="Times New Roman" w:eastAsia="宋体" w:cs="Times New Roman"/>
                <w:color w:val="auto"/>
                <w:sz w:val="24"/>
                <w:szCs w:val="24"/>
                <w:highlight w:val="none"/>
              </w:rPr>
              <w:t>水</w:t>
            </w:r>
          </w:p>
          <w:p>
            <w:pPr>
              <w:keepNext w:val="0"/>
              <w:keepLines w:val="0"/>
              <w:pageBreakBefore w:val="0"/>
              <w:widowControl/>
              <w:kinsoku/>
              <w:wordWrap/>
              <w:overflowPunct/>
              <w:topLinePunct w:val="0"/>
              <w:bidi w:val="0"/>
              <w:spacing w:line="360" w:lineRule="auto"/>
              <w:ind w:left="0" w:leftChars="0" w:firstLine="480" w:firstLineChars="200"/>
              <w:textAlignment w:val="auto"/>
              <w:outlineLvl w:val="1"/>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钠碱法脱硫塔内脱硫废水</w:t>
            </w:r>
            <w:r>
              <w:rPr>
                <w:rFonts w:hint="default" w:ascii="Times New Roman" w:hAnsi="Times New Roman" w:eastAsia="宋体" w:cs="Times New Roman"/>
                <w:color w:val="auto"/>
                <w:sz w:val="24"/>
                <w:szCs w:val="24"/>
                <w:highlight w:val="none"/>
              </w:rPr>
              <w:t>循环使用，不外排</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overflowPunct/>
              <w:topLinePunct w:val="0"/>
              <w:bidi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⑥生活污水</w:t>
            </w:r>
          </w:p>
          <w:p>
            <w:pPr>
              <w:keepNext w:val="0"/>
              <w:keepLines w:val="0"/>
              <w:pageBreakBefore w:val="0"/>
              <w:kinsoku/>
              <w:wordWrap/>
              <w:overflowPunct/>
              <w:topLinePunct w:val="0"/>
              <w:bidi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生活污水产生量按用水量的80%计算，全厂生活污水产生量为</w:t>
            </w:r>
            <w:r>
              <w:rPr>
                <w:rFonts w:hint="default" w:ascii="Times New Roman" w:hAnsi="Times New Roman" w:eastAsia="宋体" w:cs="Times New Roman"/>
                <w:color w:val="auto"/>
                <w:sz w:val="24"/>
                <w:szCs w:val="24"/>
                <w:highlight w:val="none"/>
                <w:lang w:val="en-US" w:eastAsia="zh-CN"/>
              </w:rPr>
              <w:t>0.32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/d（</w:t>
            </w:r>
            <w:r>
              <w:rPr>
                <w:rFonts w:hint="default" w:ascii="Times New Roman" w:hAnsi="Times New Roman" w:eastAsia="宋体" w:cs="Times New Roman"/>
                <w:color w:val="auto"/>
                <w:sz w:val="24"/>
                <w:szCs w:val="24"/>
                <w:highlight w:val="none"/>
                <w:lang w:val="en-US" w:eastAsia="zh-CN"/>
              </w:rPr>
              <w:t>57.6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/a）</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bidi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本项目水平衡图见图2-1。</w:t>
            </w:r>
          </w:p>
          <w:p>
            <w:pPr>
              <w:bidi w:val="0"/>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5" o:spt="75" type="#_x0000_t75" style="height:190.5pt;width:413.85pt;" o:ole="t" filled="f" o:preferrelative="t" stroked="f" coordsize="21600,21600">
                  <v:path/>
                  <v:fill on="f" focussize="0,0"/>
                  <v:stroke on="f"/>
                  <v:imagedata r:id="rId6" o:title=""/>
                  <o:lock v:ext="edit" aspectratio="t"/>
                  <w10:wrap type="none"/>
                  <w10:anchorlock/>
                </v:shape>
                <o:OLEObject Type="Embed" ProgID="Visio.Drawing.11" ShapeID="_x0000_i1025" DrawAspect="Content" ObjectID="_1468075725" r:id="rId5">
                  <o:LockedField>false</o:LockedField>
                </o:OLEObject>
              </w:object>
            </w:r>
          </w:p>
          <w:p>
            <w:pPr>
              <w:bidi w:val="0"/>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图2-1     本项目水平衡图   单位m</w:t>
            </w:r>
            <w:r>
              <w:rPr>
                <w:rFonts w:hint="default" w:ascii="Times New Roman" w:hAnsi="Times New Roman" w:eastAsia="宋体" w:cs="Times New Roman"/>
                <w:b/>
                <w:bCs/>
                <w:color w:val="auto"/>
                <w:sz w:val="24"/>
                <w:highlight w:val="none"/>
                <w:vertAlign w:val="superscript"/>
              </w:rPr>
              <w:t>3</w:t>
            </w:r>
            <w:r>
              <w:rPr>
                <w:rFonts w:hint="default" w:ascii="Times New Roman" w:hAnsi="Times New Roman" w:eastAsia="宋体" w:cs="Times New Roman"/>
                <w:b/>
                <w:bCs/>
                <w:color w:val="auto"/>
                <w:sz w:val="24"/>
                <w:highlight w:val="none"/>
              </w:rPr>
              <w:t>/d</w:t>
            </w:r>
          </w:p>
          <w:p>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供电</w:t>
            </w:r>
          </w:p>
          <w:p>
            <w:pP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由</w:t>
            </w:r>
            <w:r>
              <w:rPr>
                <w:rFonts w:hint="default" w:ascii="Times New Roman" w:hAnsi="Times New Roman" w:eastAsia="宋体" w:cs="Times New Roman"/>
                <w:color w:val="auto"/>
                <w:sz w:val="24"/>
                <w:szCs w:val="24"/>
                <w:highlight w:val="none"/>
                <w:lang w:val="en-US" w:eastAsia="zh-CN"/>
              </w:rPr>
              <w:t>社</w:t>
            </w:r>
            <w:r>
              <w:rPr>
                <w:rFonts w:hint="default" w:ascii="Times New Roman" w:hAnsi="Times New Roman" w:eastAsia="宋体" w:cs="Times New Roman"/>
                <w:color w:val="auto"/>
                <w:sz w:val="24"/>
                <w:szCs w:val="24"/>
                <w:highlight w:val="none"/>
              </w:rPr>
              <w:t>区现有供电系统提供。</w:t>
            </w:r>
          </w:p>
          <w:p>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供暖</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冬季为</w:t>
            </w:r>
            <w:r>
              <w:rPr>
                <w:rFonts w:hint="default" w:ascii="Times New Roman" w:hAnsi="Times New Roman" w:eastAsia="宋体" w:cs="Times New Roman"/>
                <w:color w:val="auto"/>
                <w:sz w:val="24"/>
                <w:szCs w:val="24"/>
                <w:highlight w:val="none"/>
                <w:lang w:eastAsia="zh-CN"/>
              </w:rPr>
              <w:t>乌拉特前旗</w:t>
            </w:r>
            <w:r>
              <w:rPr>
                <w:rFonts w:hint="default" w:ascii="Times New Roman" w:hAnsi="Times New Roman" w:eastAsia="宋体" w:cs="Times New Roman"/>
                <w:color w:val="auto"/>
                <w:sz w:val="24"/>
                <w:szCs w:val="24"/>
                <w:highlight w:val="none"/>
                <w:lang w:val="en-US" w:eastAsia="zh-CN"/>
              </w:rPr>
              <w:t>乌拉山镇乌化社区</w:t>
            </w:r>
            <w:r>
              <w:rPr>
                <w:rFonts w:hint="default" w:ascii="Times New Roman" w:hAnsi="Times New Roman" w:eastAsia="宋体" w:cs="Times New Roman"/>
                <w:color w:val="auto"/>
                <w:sz w:val="24"/>
                <w:szCs w:val="24"/>
                <w:highlight w:val="none"/>
              </w:rPr>
              <w:t>供暖，运营期为10月中旬~次年4月中旬，年运营180天，每天运行24小时，执行三班两倒制</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4"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工艺流程和产排污环节</w:t>
            </w:r>
          </w:p>
        </w:tc>
        <w:tc>
          <w:tcPr>
            <w:tcW w:w="8490" w:type="dxa"/>
            <w:vAlign w:val="center"/>
          </w:tcPr>
          <w:p>
            <w:pPr>
              <w:numPr>
                <w:ilvl w:val="0"/>
                <w:numId w:val="0"/>
              </w:num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1、生物质</w:t>
            </w:r>
            <w:r>
              <w:rPr>
                <w:rFonts w:hint="default" w:ascii="Times New Roman" w:hAnsi="Times New Roman" w:eastAsia="宋体" w:cs="Times New Roman"/>
                <w:b/>
                <w:bCs/>
                <w:color w:val="auto"/>
                <w:sz w:val="24"/>
                <w:szCs w:val="24"/>
                <w:highlight w:val="none"/>
              </w:rPr>
              <w:t>热水锅炉运行工艺</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热水锅炉是利用燃料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本项目采用</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lang w:val="en-US" w:eastAsia="zh-CN"/>
              </w:rPr>
              <w:t>燃料</w:t>
            </w:r>
            <w:r>
              <w:rPr>
                <w:rFonts w:hint="default" w:ascii="Times New Roman" w:hAnsi="Times New Roman" w:eastAsia="宋体" w:cs="Times New Roman"/>
                <w:color w:val="auto"/>
                <w:sz w:val="24"/>
                <w:szCs w:val="24"/>
                <w:highlight w:val="none"/>
              </w:rPr>
              <w:t>）燃烧释放的热能对容器内的水进行加热，使水达到所需温度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热水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的一种热力设备。</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它是由锅炉本体附件仪表及附属设备构成的一个整体。锅炉在锅与炉两部分同时进行，生水进入锅炉以后，锅炉受热面将吸收的热量传递给水，把水加热成一定温度给用户生产供暖使用。燃烧机不断的燃烧燃料不断的放出热量，燃烧中产生的高温烟气通过热的传播，可以将热量传递给锅炉受热面，而本身温度逐渐降低，最后经过烟囱排出。锅与炉分工进行工作，一个吸热，一个放热，完美的配合是密切联系的一个整体设备，缺一不可。</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热水锅炉在运行中由循环泵作动力。将水不断的的循环流动，不停的将受热面吸收的热量全部传递给生水，使受热面得到良好的冷却，使水升温足部加快，从而保证了锅炉受热面在高温条件下安全的工作。</w:t>
            </w:r>
          </w:p>
          <w:p>
            <w:pPr>
              <w:pStyle w:val="21"/>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rPr>
              <w:object>
                <v:shape id="_x0000_i1026" o:spt="75" type="#_x0000_t75" style="height:333.8pt;width:413.85pt;" o:ole="t" filled="f" o:preferrelative="t" stroked="f" coordsize="21600,21600">
                  <v:path/>
                  <v:fill on="f" focussize="0,0"/>
                  <v:stroke on="f"/>
                  <v:imagedata r:id="rId8" o:title=""/>
                  <o:lock v:ext="edit" aspectratio="t"/>
                  <w10:wrap type="none"/>
                  <w10:anchorlock/>
                </v:shape>
                <o:OLEObject Type="Embed" ProgID="Visio.Drawing.11" ShapeID="_x0000_i1026" DrawAspect="Content" ObjectID="_1468075726" r:id="rId7">
                  <o:LockedField>false</o:LockedField>
                </o:OLEObject>
              </w:object>
            </w:r>
            <w:r>
              <w:rPr>
                <w:rFonts w:hint="default" w:ascii="Times New Roman" w:hAnsi="Times New Roman" w:eastAsia="宋体" w:cs="Times New Roman"/>
                <w:b/>
                <w:bCs/>
                <w:color w:val="auto"/>
                <w:sz w:val="24"/>
                <w:szCs w:val="24"/>
                <w:highlight w:val="none"/>
                <w:lang w:eastAsia="zh-CN"/>
              </w:rPr>
              <w:t>图</w:t>
            </w:r>
            <w:r>
              <w:rPr>
                <w:rFonts w:hint="default" w:ascii="Times New Roman" w:hAnsi="Times New Roman" w:eastAsia="宋体" w:cs="Times New Roman"/>
                <w:b/>
                <w:bCs/>
                <w:color w:val="auto"/>
                <w:sz w:val="24"/>
                <w:szCs w:val="24"/>
                <w:highlight w:val="none"/>
                <w:lang w:val="en-US" w:eastAsia="zh-CN"/>
              </w:rPr>
              <w:t>2-2  锅炉工艺及排污节点图</w:t>
            </w:r>
          </w:p>
          <w:p>
            <w:pPr>
              <w:keepNext w:val="0"/>
              <w:keepLines w:val="0"/>
              <w:pageBreakBefore w:val="0"/>
              <w:widowControl w:val="0"/>
              <w:kinsoku/>
              <w:wordWrap/>
              <w:overflowPunct/>
              <w:topLinePunct w:val="0"/>
              <w:bidi w:val="0"/>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本项目</w:t>
            </w:r>
            <w:r>
              <w:rPr>
                <w:rFonts w:hint="default" w:ascii="Times New Roman" w:hAnsi="Times New Roman" w:eastAsia="宋体" w:cs="Times New Roman"/>
                <w:b/>
                <w:color w:val="auto"/>
                <w:sz w:val="24"/>
                <w:szCs w:val="24"/>
                <w:highlight w:val="none"/>
                <w:lang w:eastAsia="zh-CN"/>
              </w:rPr>
              <w:t>生物质热水锅炉</w:t>
            </w:r>
            <w:r>
              <w:rPr>
                <w:rFonts w:hint="default" w:ascii="Times New Roman" w:hAnsi="Times New Roman" w:eastAsia="宋体" w:cs="Times New Roman"/>
                <w:b/>
                <w:color w:val="auto"/>
                <w:sz w:val="24"/>
                <w:szCs w:val="24"/>
                <w:highlight w:val="none"/>
              </w:rPr>
              <w:t>技术参数</w:t>
            </w:r>
          </w:p>
          <w:p>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型号：</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ZL</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1.0/95/70-SCI</w:t>
            </w:r>
          </w:p>
          <w:p>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额定热功率：</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额定工作压力：</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 xml:space="preserve">0 MPa </w:t>
            </w:r>
          </w:p>
          <w:p>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额定出水温度：</w:t>
            </w:r>
            <w:r>
              <w:rPr>
                <w:rFonts w:hint="default" w:ascii="Times New Roman" w:hAnsi="Times New Roman" w:eastAsia="宋体" w:cs="Times New Roman"/>
                <w:color w:val="auto"/>
                <w:sz w:val="24"/>
                <w:szCs w:val="24"/>
                <w:highlight w:val="none"/>
                <w:lang w:val="en-US" w:eastAsia="zh-CN"/>
              </w:rPr>
              <w:t>95</w:t>
            </w:r>
            <w:r>
              <w:rPr>
                <w:rFonts w:hint="default" w:ascii="Times New Roman" w:hAnsi="Times New Roman" w:eastAsia="宋体" w:cs="Times New Roman"/>
                <w:color w:val="auto"/>
                <w:sz w:val="24"/>
                <w:szCs w:val="24"/>
                <w:highlight w:val="none"/>
              </w:rPr>
              <w:t xml:space="preserve"> ℃           额定回水温度：</w:t>
            </w:r>
            <w:r>
              <w:rPr>
                <w:rFonts w:hint="default" w:ascii="Times New Roman" w:hAnsi="Times New Roman" w:eastAsia="宋体" w:cs="Times New Roman"/>
                <w:color w:val="auto"/>
                <w:sz w:val="24"/>
                <w:szCs w:val="24"/>
                <w:highlight w:val="none"/>
                <w:lang w:val="en-US" w:eastAsia="zh-CN"/>
              </w:rPr>
              <w:t>70</w:t>
            </w:r>
            <w:r>
              <w:rPr>
                <w:rFonts w:hint="default" w:ascii="Times New Roman" w:hAnsi="Times New Roman" w:eastAsia="宋体" w:cs="Times New Roman"/>
                <w:color w:val="auto"/>
                <w:sz w:val="24"/>
                <w:szCs w:val="24"/>
                <w:highlight w:val="none"/>
              </w:rPr>
              <w:t xml:space="preserve"> ℃</w:t>
            </w:r>
          </w:p>
          <w:p>
            <w:pPr>
              <w:keepNext w:val="0"/>
              <w:keepLines w:val="0"/>
              <w:pageBreakBefore w:val="0"/>
              <w:widowControl w:val="0"/>
              <w:kinsoku/>
              <w:wordWrap/>
              <w:overflowPunct/>
              <w:topLinePunct w:val="0"/>
              <w:bidi w:val="0"/>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设计燃料：  生物质            燃料消耗量；</w:t>
            </w:r>
            <w:r>
              <w:rPr>
                <w:rFonts w:hint="default" w:ascii="Times New Roman" w:hAnsi="Times New Roman" w:eastAsia="宋体" w:cs="Times New Roman"/>
                <w:color w:val="auto"/>
                <w:sz w:val="24"/>
                <w:szCs w:val="24"/>
                <w:highlight w:val="none"/>
                <w:lang w:val="en-US" w:eastAsia="zh-CN"/>
              </w:rPr>
              <w:t>1640t/a</w:t>
            </w:r>
            <w:r>
              <w:rPr>
                <w:rFonts w:hint="default" w:ascii="Times New Roman" w:hAnsi="Times New Roman" w:eastAsia="宋体" w:cs="Times New Roman"/>
                <w:color w:val="auto"/>
                <w:sz w:val="24"/>
                <w:szCs w:val="24"/>
                <w:highlight w:val="none"/>
              </w:rPr>
              <w:t xml:space="preserve"> </w:t>
            </w:r>
          </w:p>
          <w:p>
            <w:pPr>
              <w:pStyle w:val="2"/>
              <w:keepNext w:val="0"/>
              <w:keepLines w:val="0"/>
              <w:pageBreakBefore w:val="0"/>
              <w:widowControl w:val="0"/>
              <w:kinsoku/>
              <w:wordWrap/>
              <w:overflowPunct/>
              <w:topLinePunct w:val="0"/>
              <w:bidi w:val="0"/>
              <w:spacing w:after="0" w:afterLines="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2、软水制备系统</w:t>
            </w:r>
          </w:p>
          <w:p>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软水制备系统采用</w:t>
            </w:r>
            <w:r>
              <w:rPr>
                <w:rFonts w:hint="default" w:ascii="Times New Roman" w:hAnsi="Times New Roman" w:eastAsia="宋体" w:cs="Times New Roman"/>
                <w:color w:val="auto"/>
                <w:kern w:val="0"/>
                <w:sz w:val="24"/>
                <w:szCs w:val="24"/>
                <w:highlight w:val="none"/>
              </w:rPr>
              <w:t>离子交换树脂法软化处理</w:t>
            </w:r>
            <w:r>
              <w:rPr>
                <w:rFonts w:hint="default" w:ascii="Times New Roman" w:hAnsi="Times New Roman" w:eastAsia="宋体" w:cs="Times New Roman"/>
                <w:color w:val="auto"/>
                <w:sz w:val="24"/>
                <w:szCs w:val="24"/>
                <w:highlight w:val="none"/>
              </w:rPr>
              <w:t>成软水进入锅炉，</w:t>
            </w:r>
            <w:r>
              <w:rPr>
                <w:rFonts w:hint="default" w:ascii="Times New Roman" w:hAnsi="Times New Roman" w:eastAsia="宋体" w:cs="Times New Roman"/>
                <w:color w:val="auto"/>
                <w:sz w:val="24"/>
                <w:szCs w:val="24"/>
                <w:highlight w:val="none"/>
                <w:lang w:eastAsia="zh-CN"/>
              </w:rPr>
              <w:t>生物质燃料</w:t>
            </w:r>
            <w:r>
              <w:rPr>
                <w:rFonts w:hint="default" w:ascii="Times New Roman" w:hAnsi="Times New Roman" w:eastAsia="宋体" w:cs="Times New Roman"/>
                <w:color w:val="auto"/>
                <w:sz w:val="24"/>
                <w:szCs w:val="24"/>
                <w:highlight w:val="none"/>
              </w:rPr>
              <w:t>燃烧产生热量将软水加热后，热水进入</w:t>
            </w:r>
            <w:r>
              <w:rPr>
                <w:rFonts w:hint="default" w:ascii="Times New Roman" w:hAnsi="Times New Roman" w:eastAsia="宋体" w:cs="Times New Roman"/>
                <w:color w:val="auto"/>
                <w:sz w:val="24"/>
                <w:szCs w:val="24"/>
                <w:highlight w:val="none"/>
                <w:lang w:eastAsia="zh-CN"/>
              </w:rPr>
              <w:t>生活区</w:t>
            </w:r>
            <w:r>
              <w:rPr>
                <w:rFonts w:hint="default" w:ascii="Times New Roman" w:hAnsi="Times New Roman" w:eastAsia="宋体" w:cs="Times New Roman"/>
                <w:color w:val="auto"/>
                <w:sz w:val="24"/>
                <w:szCs w:val="24"/>
                <w:highlight w:val="none"/>
              </w:rPr>
              <w:t>供暖管道内，对</w:t>
            </w:r>
            <w:r>
              <w:rPr>
                <w:rFonts w:hint="default" w:ascii="Times New Roman" w:hAnsi="Times New Roman" w:eastAsia="宋体" w:cs="Times New Roman"/>
                <w:color w:val="auto"/>
                <w:sz w:val="24"/>
                <w:szCs w:val="24"/>
                <w:highlight w:val="none"/>
                <w:lang w:eastAsia="zh-CN"/>
              </w:rPr>
              <w:t>生活区</w:t>
            </w:r>
            <w:r>
              <w:rPr>
                <w:rFonts w:hint="default" w:ascii="Times New Roman" w:hAnsi="Times New Roman" w:eastAsia="宋体" w:cs="Times New Roman"/>
                <w:color w:val="auto"/>
                <w:sz w:val="24"/>
                <w:szCs w:val="24"/>
                <w:highlight w:val="none"/>
              </w:rPr>
              <w:t>进行供暖。</w:t>
            </w:r>
          </w:p>
          <w:p>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本项目软化水采用钠离子交换工艺，设备软化原理：钠离子交换器内装有一定高度的钠型阳离子交换树脂作为交换剂，当硬水自下而上通过树脂层时，水中的钙、镁离子被钠型树脂吸收，而钠型树脂中的钠离子被置换到水中，从而去除原水中的钙、镁离子，使硬水得到了软化。其化学反应方程式为：</w:t>
            </w:r>
          </w:p>
          <w:p>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Ca</w:t>
            </w:r>
            <w:r>
              <w:rPr>
                <w:rFonts w:hint="default" w:ascii="Times New Roman" w:hAnsi="Times New Roman" w:eastAsia="宋体" w:cs="Times New Roman"/>
                <w:color w:val="auto"/>
                <w:kern w:val="0"/>
                <w:sz w:val="24"/>
                <w:szCs w:val="24"/>
                <w:highlight w:val="none"/>
                <w:vertAlign w:val="superscript"/>
                <w:lang w:bidi="ar"/>
              </w:rPr>
              <w:t>2+</w:t>
            </w:r>
            <w:r>
              <w:rPr>
                <w:rFonts w:hint="default" w:ascii="Times New Roman" w:hAnsi="Times New Roman" w:eastAsia="宋体" w:cs="Times New Roman"/>
                <w:color w:val="auto"/>
                <w:kern w:val="0"/>
                <w:sz w:val="24"/>
                <w:szCs w:val="24"/>
                <w:highlight w:val="none"/>
                <w:lang w:bidi="ar"/>
              </w:rPr>
              <w:t>+2NaR→CaR</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+2Na</w:t>
            </w:r>
            <w:r>
              <w:rPr>
                <w:rFonts w:hint="default" w:ascii="Times New Roman" w:hAnsi="Times New Roman" w:eastAsia="宋体" w:cs="Times New Roman"/>
                <w:color w:val="auto"/>
                <w:kern w:val="0"/>
                <w:sz w:val="24"/>
                <w:szCs w:val="24"/>
                <w:highlight w:val="none"/>
                <w:vertAlign w:val="superscript"/>
                <w:lang w:bidi="ar"/>
              </w:rPr>
              <w:t>+</w:t>
            </w:r>
          </w:p>
          <w:p>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Mg</w:t>
            </w:r>
            <w:r>
              <w:rPr>
                <w:rFonts w:hint="default" w:ascii="Times New Roman" w:hAnsi="Times New Roman" w:eastAsia="宋体" w:cs="Times New Roman"/>
                <w:color w:val="auto"/>
                <w:kern w:val="0"/>
                <w:sz w:val="24"/>
                <w:szCs w:val="24"/>
                <w:highlight w:val="none"/>
                <w:vertAlign w:val="superscript"/>
                <w:lang w:bidi="ar"/>
              </w:rPr>
              <w:t>2+</w:t>
            </w:r>
            <w:r>
              <w:rPr>
                <w:rFonts w:hint="default" w:ascii="Times New Roman" w:hAnsi="Times New Roman" w:eastAsia="宋体" w:cs="Times New Roman"/>
                <w:color w:val="auto"/>
                <w:kern w:val="0"/>
                <w:sz w:val="24"/>
                <w:szCs w:val="24"/>
                <w:highlight w:val="none"/>
                <w:lang w:bidi="ar"/>
              </w:rPr>
              <w:t>+2NaR→MgR</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+2Na</w:t>
            </w:r>
            <w:r>
              <w:rPr>
                <w:rFonts w:hint="default" w:ascii="Times New Roman" w:hAnsi="Times New Roman" w:eastAsia="宋体" w:cs="Times New Roman"/>
                <w:color w:val="auto"/>
                <w:kern w:val="0"/>
                <w:sz w:val="24"/>
                <w:szCs w:val="24"/>
                <w:highlight w:val="none"/>
                <w:vertAlign w:val="superscript"/>
                <w:lang w:bidi="ar"/>
              </w:rPr>
              <w:t>+</w:t>
            </w:r>
          </w:p>
          <w:p>
            <w:pPr>
              <w:pStyle w:val="7"/>
              <w:keepNext w:val="0"/>
              <w:keepLines w:val="0"/>
              <w:pageBreakBefore w:val="0"/>
              <w:widowControl w:val="0"/>
              <w:kinsoku/>
              <w:wordWrap/>
              <w:overflowPunct/>
              <w:topLinePunct w:val="0"/>
              <w:bidi w:val="0"/>
              <w:adjustRightInd w:val="0"/>
              <w:snapToGrid w:val="0"/>
              <w:spacing w:line="360" w:lineRule="auto"/>
              <w:ind w:left="0" w:leftChars="0" w:firstLine="480"/>
              <w:textAlignment w:val="auto"/>
              <w:rPr>
                <w:rFonts w:hint="default"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bidi="ar"/>
              </w:rPr>
              <w:t>当交换柱内钠型阳离子交换树脂的钠离子逐渐被钙、镁离子所代替，泄露出钙、镁离子时，出水的硬度就超出使用所要求的规定数值；此时数值已失效，要进行再生。再生时将5-10%的盐水由上向下通过交换层，盐液中的钠离子又置换出交换剂树脂吸附的钙、镁离子，使交换剂树脂得到再生，恢复得到再生，恢复其交换能力</w:t>
            </w:r>
            <w:r>
              <w:rPr>
                <w:rFonts w:hint="default" w:ascii="Times New Roman" w:hAnsi="Times New Roman" w:eastAsia="宋体" w:cs="Times New Roman"/>
                <w:color w:val="auto"/>
                <w:kern w:val="0"/>
                <w:sz w:val="24"/>
                <w:szCs w:val="24"/>
                <w:highlight w:val="none"/>
                <w:lang w:eastAsia="zh-CN" w:bidi="ar"/>
              </w:rPr>
              <w:t>。</w:t>
            </w:r>
          </w:p>
          <w:p>
            <w:pPr>
              <w:pStyle w:val="2"/>
              <w:keepNext w:val="0"/>
              <w:keepLines w:val="0"/>
              <w:pageBreakBefore w:val="0"/>
              <w:widowControl w:val="0"/>
              <w:kinsoku/>
              <w:wordWrap/>
              <w:overflowPunct/>
              <w:topLinePunct w:val="0"/>
              <w:bidi w:val="0"/>
              <w:spacing w:after="0" w:afterLines="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1台</w:t>
            </w:r>
            <w:r>
              <w:rPr>
                <w:rFonts w:hint="eastAsia" w:eastAsia="宋体" w:cs="Times New Roman"/>
                <w:color w:val="auto"/>
                <w:kern w:val="0"/>
                <w:sz w:val="24"/>
                <w:szCs w:val="24"/>
                <w:highlight w:val="none"/>
                <w:lang w:val="en-US" w:eastAsia="zh-CN" w:bidi="ar"/>
              </w:rPr>
              <w:t>7MW</w:t>
            </w:r>
            <w:r>
              <w:rPr>
                <w:rFonts w:hint="default" w:ascii="Times New Roman" w:hAnsi="Times New Roman" w:eastAsia="宋体" w:cs="Times New Roman"/>
                <w:color w:val="auto"/>
                <w:kern w:val="0"/>
                <w:sz w:val="24"/>
                <w:szCs w:val="24"/>
                <w:highlight w:val="none"/>
                <w:lang w:val="en-US" w:eastAsia="zh-CN" w:bidi="ar"/>
              </w:rPr>
              <w:t>软水制备装置容积为800L，交换树脂的一次充装量为0.6t。一般的水质，交换树脂可使用1-3年左右，本次评价按2年更换1次计。</w:t>
            </w:r>
          </w:p>
          <w:p>
            <w:pPr>
              <w:pStyle w:val="2"/>
              <w:keepNext w:val="0"/>
              <w:keepLines w:val="0"/>
              <w:pageBreakBefore w:val="0"/>
              <w:widowControl w:val="0"/>
              <w:kinsoku/>
              <w:wordWrap/>
              <w:overflowPunct/>
              <w:topLinePunct w:val="0"/>
              <w:bidi w:val="0"/>
              <w:spacing w:after="0" w:afterLines="0" w:line="360" w:lineRule="auto"/>
              <w:ind w:left="0" w:leftChars="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脱硫</w:t>
            </w:r>
            <w:r>
              <w:rPr>
                <w:rFonts w:hint="default" w:ascii="Times New Roman" w:hAnsi="Times New Roman" w:eastAsia="宋体" w:cs="Times New Roman"/>
                <w:b/>
                <w:bCs/>
                <w:color w:val="auto"/>
                <w:sz w:val="24"/>
                <w:highlight w:val="none"/>
              </w:rPr>
              <w:t>除尘工艺流程</w:t>
            </w:r>
          </w:p>
          <w:p>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）多管旋风除尘器除尘原理及工艺流程</w:t>
            </w:r>
          </w:p>
          <w:p>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锅炉废气进入多管旋风除尘器进气管进入气体分布室，随后进入导流片之间的环形空隙。导流片使气体由直线运动变为圆周运动，旋转气流的绝大部分沿旋风体自圆筒体呈螺旋形向下，朝锥体流动，含尘气体在旋转过程中产生离心力，将密度大于气体的尘粒甩向筒壁。尘粒在与筒壁接触，便失去惯性力而靠入口速度的动量和向下的重力沿壁面向下落入排灰口进入总灰斗。旋转下降的外旋气流到达锥体下端位时，因圆锥体的收缩即以同样的旋转方向在旋风管轴线方向由下而上继续做螺旋形流动（净气），经过旋风体排气管进入排气室，由排气口排出。</w:t>
            </w:r>
          </w:p>
          <w:p>
            <w:pPr>
              <w:numPr>
                <w:ilvl w:val="0"/>
                <w:numId w:val="2"/>
              </w:num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钠碱法脱硫塔</w:t>
            </w:r>
            <w:r>
              <w:rPr>
                <w:rFonts w:hint="default" w:ascii="Times New Roman" w:hAnsi="Times New Roman" w:eastAsia="宋体" w:cs="Times New Roman"/>
                <w:color w:val="auto"/>
                <w:sz w:val="24"/>
                <w:highlight w:val="none"/>
                <w:lang w:val="en-US" w:eastAsia="zh-CN"/>
              </w:rPr>
              <w:t>脱硫</w:t>
            </w:r>
            <w:r>
              <w:rPr>
                <w:rFonts w:hint="default" w:ascii="Times New Roman" w:hAnsi="Times New Roman" w:eastAsia="宋体" w:cs="Times New Roman"/>
                <w:color w:val="auto"/>
                <w:sz w:val="24"/>
                <w:highlight w:val="none"/>
                <w:lang w:eastAsia="zh-CN"/>
              </w:rPr>
              <w:t>除尘原理及工艺流程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钠碱法脱硫塔简单来说就是在对工业废气进行脱硫处理系统中的主体设备，因为大多都是塔形形状，所以称钠碱法脱硫塔。工作原理：钠碱法脱硫塔主要的运作方式是含有二氧化硫的废气由风管引入钠碱法脱硫塔，经过填料层，废气与氢氧化钠吸收液进行气液两相充分接触吸收中和反应，酸性废气经过净化后，再经除雾板脱水除雾后由风机排入大气。吸收液在塔底经水泵增压后在塔顶喷淋而下，最后回流至塔底循环使用。</w:t>
            </w:r>
          </w:p>
          <w:p>
            <w:pPr>
              <w:keepNext w:val="0"/>
              <w:keepLines w:val="0"/>
              <w:pageBreakBefore w:val="0"/>
              <w:widowControl w:val="0"/>
              <w:kinsoku/>
              <w:wordWrap/>
              <w:overflowPunct/>
              <w:topLinePunct w:val="0"/>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4、废水循环利用工艺</w:t>
            </w:r>
          </w:p>
          <w:p>
            <w:pPr>
              <w:keepNext w:val="0"/>
              <w:keepLines w:val="0"/>
              <w:pageBreakBefore w:val="0"/>
              <w:widowControl w:val="0"/>
              <w:kinsoku/>
              <w:wordWrap/>
              <w:overflowPunct/>
              <w:topLinePunct w:val="0"/>
              <w:autoSpaceDE w:val="0"/>
              <w:autoSpaceDN w:val="0"/>
              <w:bidi w:val="0"/>
              <w:adjustRightIn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脱硫废水处理</w:t>
            </w:r>
            <w:r>
              <w:rPr>
                <w:rFonts w:hint="default" w:ascii="Times New Roman" w:hAnsi="Times New Roman" w:eastAsia="宋体" w:cs="Times New Roman"/>
                <w:color w:val="auto"/>
                <w:sz w:val="24"/>
                <w:szCs w:val="24"/>
                <w:highlight w:val="none"/>
              </w:rPr>
              <w:t>包括二级沉淀池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总容积12m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）和清水池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容积3m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bidi="ar"/>
              </w:rPr>
              <w:t>钠碱法脱硫塔</w:t>
            </w:r>
            <w:r>
              <w:rPr>
                <w:rFonts w:hint="default" w:ascii="Times New Roman" w:hAnsi="Times New Roman" w:eastAsia="宋体" w:cs="Times New Roman"/>
                <w:color w:val="auto"/>
                <w:sz w:val="24"/>
                <w:szCs w:val="24"/>
                <w:highlight w:val="none"/>
                <w:lang w:bidi="ar"/>
              </w:rPr>
              <w:t>喷淋液吸收废气中的二氧化硫</w:t>
            </w:r>
            <w:r>
              <w:rPr>
                <w:rFonts w:hint="default" w:ascii="Times New Roman" w:hAnsi="Times New Roman" w:eastAsia="宋体" w:cs="Times New Roman"/>
                <w:color w:val="auto"/>
                <w:sz w:val="24"/>
                <w:szCs w:val="24"/>
                <w:highlight w:val="none"/>
                <w:lang w:val="en-US" w:eastAsia="zh-CN" w:bidi="ar"/>
              </w:rPr>
              <w:t>与氢氧化钠反应后，脱硫废水</w:t>
            </w:r>
            <w:r>
              <w:rPr>
                <w:rFonts w:hint="default" w:ascii="Times New Roman" w:hAnsi="Times New Roman" w:eastAsia="宋体" w:cs="Times New Roman"/>
                <w:color w:val="auto"/>
                <w:sz w:val="24"/>
                <w:szCs w:val="24"/>
                <w:highlight w:val="none"/>
                <w:lang w:bidi="ar"/>
              </w:rPr>
              <w:t>进入沉淀池</w:t>
            </w:r>
            <w:r>
              <w:rPr>
                <w:rFonts w:hint="default" w:ascii="Times New Roman" w:hAnsi="Times New Roman" w:eastAsia="宋体" w:cs="Times New Roman"/>
                <w:color w:val="auto"/>
                <w:sz w:val="24"/>
                <w:szCs w:val="24"/>
                <w:highlight w:val="none"/>
                <w:lang w:val="en-US" w:eastAsia="zh-CN" w:bidi="ar"/>
              </w:rPr>
              <w:t>1</w:t>
            </w:r>
            <w:r>
              <w:rPr>
                <w:rFonts w:hint="default" w:ascii="Times New Roman" w:hAnsi="Times New Roman" w:eastAsia="宋体" w:cs="Times New Roman"/>
                <w:color w:val="auto"/>
                <w:sz w:val="24"/>
                <w:szCs w:val="24"/>
                <w:highlight w:val="none"/>
                <w:lang w:bidi="ar"/>
              </w:rPr>
              <w:t>，上清液进入沉淀池</w:t>
            </w:r>
            <w:r>
              <w:rPr>
                <w:rFonts w:hint="default" w:ascii="Times New Roman" w:hAnsi="Times New Roman" w:eastAsia="宋体" w:cs="Times New Roman"/>
                <w:color w:val="auto"/>
                <w:sz w:val="24"/>
                <w:szCs w:val="24"/>
                <w:highlight w:val="none"/>
                <w:lang w:val="en-US" w:eastAsia="zh-CN" w:bidi="ar"/>
              </w:rPr>
              <w:t>2</w:t>
            </w:r>
            <w:r>
              <w:rPr>
                <w:rFonts w:hint="default" w:ascii="Times New Roman" w:hAnsi="Times New Roman" w:eastAsia="宋体" w:cs="Times New Roman"/>
                <w:color w:val="auto"/>
                <w:sz w:val="24"/>
                <w:szCs w:val="24"/>
                <w:highlight w:val="none"/>
              </w:rPr>
              <w:t>澄清</w:t>
            </w:r>
            <w:r>
              <w:rPr>
                <w:rFonts w:hint="default" w:ascii="Times New Roman" w:hAnsi="Times New Roman" w:eastAsia="宋体" w:cs="Times New Roman"/>
                <w:color w:val="auto"/>
                <w:sz w:val="24"/>
                <w:szCs w:val="24"/>
                <w:highlight w:val="none"/>
                <w:lang w:bidi="ar"/>
              </w:rPr>
              <w:t>后进入清水池，清水池补加新水、加入</w:t>
            </w:r>
            <w:r>
              <w:rPr>
                <w:rFonts w:hint="default" w:ascii="Times New Roman" w:hAnsi="Times New Roman" w:eastAsia="宋体" w:cs="Times New Roman"/>
                <w:color w:val="auto"/>
                <w:sz w:val="24"/>
                <w:szCs w:val="24"/>
                <w:highlight w:val="none"/>
                <w:lang w:eastAsia="zh-CN" w:bidi="ar"/>
              </w:rPr>
              <w:t>氢氧化钠</w:t>
            </w:r>
            <w:r>
              <w:rPr>
                <w:rFonts w:hint="default" w:ascii="Times New Roman" w:hAnsi="Times New Roman" w:eastAsia="宋体" w:cs="Times New Roman"/>
                <w:color w:val="auto"/>
                <w:sz w:val="24"/>
                <w:szCs w:val="24"/>
                <w:highlight w:val="none"/>
                <w:lang w:bidi="ar"/>
              </w:rPr>
              <w:t>调节pH值后，再由泵抽送至</w:t>
            </w:r>
            <w:r>
              <w:rPr>
                <w:rFonts w:hint="default" w:ascii="Times New Roman" w:hAnsi="Times New Roman" w:eastAsia="宋体" w:cs="Times New Roman"/>
                <w:color w:val="auto"/>
                <w:sz w:val="24"/>
                <w:szCs w:val="24"/>
                <w:highlight w:val="none"/>
                <w:lang w:eastAsia="zh-CN" w:bidi="ar"/>
              </w:rPr>
              <w:t>钠碱法脱硫塔</w:t>
            </w:r>
            <w:r>
              <w:rPr>
                <w:rFonts w:hint="default" w:ascii="Times New Roman" w:hAnsi="Times New Roman" w:eastAsia="宋体" w:cs="Times New Roman"/>
                <w:color w:val="auto"/>
                <w:sz w:val="24"/>
                <w:szCs w:val="24"/>
                <w:highlight w:val="none"/>
                <w:lang w:bidi="ar"/>
              </w:rPr>
              <w:t>循环使用</w:t>
            </w:r>
            <w:r>
              <w:rPr>
                <w:rFonts w:hint="default" w:ascii="Times New Roman" w:hAnsi="Times New Roman" w:eastAsia="宋体" w:cs="Times New Roman"/>
                <w:color w:val="auto"/>
                <w:sz w:val="24"/>
                <w:szCs w:val="24"/>
                <w:highlight w:val="none"/>
              </w:rPr>
              <w:t>。沉淀池底部</w:t>
            </w:r>
            <w:r>
              <w:rPr>
                <w:rFonts w:hint="default" w:ascii="Times New Roman" w:hAnsi="Times New Roman" w:eastAsia="宋体" w:cs="Times New Roman"/>
                <w:color w:val="auto"/>
                <w:sz w:val="24"/>
                <w:szCs w:val="24"/>
                <w:highlight w:val="none"/>
                <w:lang w:eastAsia="zh-CN"/>
              </w:rPr>
              <w:t>脱硫渣</w:t>
            </w:r>
            <w:r>
              <w:rPr>
                <w:rFonts w:hint="default" w:ascii="Times New Roman" w:hAnsi="Times New Roman" w:eastAsia="宋体" w:cs="Times New Roman"/>
                <w:color w:val="auto"/>
                <w:sz w:val="24"/>
                <w:szCs w:val="24"/>
                <w:highlight w:val="none"/>
              </w:rPr>
              <w:t>定期抽入</w:t>
            </w:r>
            <w:r>
              <w:rPr>
                <w:rFonts w:hint="default" w:ascii="Times New Roman" w:hAnsi="Times New Roman" w:eastAsia="宋体" w:cs="Times New Roman"/>
                <w:color w:val="auto"/>
                <w:sz w:val="24"/>
                <w:szCs w:val="24"/>
                <w:highlight w:val="none"/>
                <w:lang w:eastAsia="zh-CN"/>
              </w:rPr>
              <w:t>脱硫渣干化池（</w:t>
            </w:r>
            <w:r>
              <w:rPr>
                <w:rFonts w:hint="default" w:ascii="Times New Roman" w:hAnsi="Times New Roman" w:eastAsia="宋体" w:cs="Times New Roman"/>
                <w:color w:val="auto"/>
                <w:sz w:val="24"/>
                <w:szCs w:val="24"/>
                <w:highlight w:val="none"/>
              </w:rPr>
              <w:t>容积2m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bidi="ar"/>
              </w:rPr>
              <w:t>脱硫渣干化池</w:t>
            </w:r>
            <w:r>
              <w:rPr>
                <w:rFonts w:hint="default" w:ascii="Times New Roman" w:hAnsi="Times New Roman" w:eastAsia="宋体" w:cs="Times New Roman"/>
                <w:color w:val="auto"/>
                <w:sz w:val="24"/>
                <w:szCs w:val="24"/>
                <w:highlight w:val="none"/>
                <w:lang w:bidi="ar"/>
              </w:rPr>
              <w:t>内</w:t>
            </w:r>
            <w:r>
              <w:rPr>
                <w:rFonts w:hint="default" w:ascii="Times New Roman" w:hAnsi="Times New Roman" w:eastAsia="宋体" w:cs="Times New Roman"/>
                <w:color w:val="auto"/>
                <w:sz w:val="24"/>
                <w:szCs w:val="24"/>
                <w:highlight w:val="none"/>
                <w:lang w:eastAsia="zh-CN" w:bidi="ar"/>
              </w:rPr>
              <w:t>脱硫渣</w:t>
            </w:r>
            <w:r>
              <w:rPr>
                <w:rFonts w:hint="default" w:ascii="Times New Roman" w:hAnsi="Times New Roman" w:eastAsia="宋体" w:cs="Times New Roman"/>
                <w:color w:val="auto"/>
                <w:sz w:val="24"/>
                <w:szCs w:val="24"/>
                <w:highlight w:val="none"/>
                <w:lang w:bidi="ar"/>
              </w:rPr>
              <w:t>定期清运至建材公司综合利用</w:t>
            </w:r>
            <w:r>
              <w:rPr>
                <w:rFonts w:hint="default" w:ascii="Times New Roman" w:hAnsi="Times New Roman" w:eastAsia="宋体" w:cs="Times New Roman"/>
                <w:color w:val="auto"/>
                <w:sz w:val="24"/>
                <w:szCs w:val="24"/>
                <w:highlight w:val="none"/>
              </w:rPr>
              <w:t>。</w:t>
            </w:r>
          </w:p>
          <w:p>
            <w:pPr>
              <w:spacing w:line="360" w:lineRule="auto"/>
              <w:ind w:firstLine="482"/>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除灰渣系统</w:t>
            </w:r>
          </w:p>
          <w:p>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除渣：锅炉</w:t>
            </w:r>
            <w:r>
              <w:rPr>
                <w:rStyle w:val="25"/>
                <w:rFonts w:hint="default" w:ascii="Times New Roman" w:hAnsi="Times New Roman" w:eastAsia="宋体" w:cs="Times New Roman"/>
                <w:i w:val="0"/>
                <w:iCs w:val="0"/>
                <w:color w:val="auto"/>
                <w:sz w:val="24"/>
                <w:szCs w:val="24"/>
                <w:highlight w:val="none"/>
                <w:shd w:val="clear" w:color="auto" w:fill="FFFFFF"/>
              </w:rPr>
              <w:t>炉渣落入捞渣机上部水槽中</w:t>
            </w:r>
            <w:r>
              <w:rPr>
                <w:rStyle w:val="25"/>
                <w:rFonts w:hint="default" w:ascii="Times New Roman" w:hAnsi="Times New Roman" w:eastAsia="宋体" w:cs="Times New Roman"/>
                <w:i w:val="0"/>
                <w:iCs w:val="0"/>
                <w:color w:val="auto"/>
                <w:sz w:val="24"/>
                <w:szCs w:val="24"/>
                <w:highlight w:val="none"/>
                <w:shd w:val="clear" w:color="auto" w:fill="FFFFFF"/>
                <w:lang w:eastAsia="zh-CN"/>
              </w:rPr>
              <w:t>，</w:t>
            </w:r>
            <w:r>
              <w:rPr>
                <w:rStyle w:val="25"/>
                <w:rFonts w:hint="default" w:ascii="Times New Roman" w:hAnsi="Times New Roman" w:eastAsia="宋体" w:cs="Times New Roman"/>
                <w:i w:val="0"/>
                <w:iCs w:val="0"/>
                <w:color w:val="auto"/>
                <w:sz w:val="24"/>
                <w:szCs w:val="24"/>
                <w:highlight w:val="none"/>
                <w:shd w:val="clear" w:color="auto" w:fill="FFFFFF"/>
              </w:rPr>
              <w:t>经水冷却后由连续</w:t>
            </w:r>
            <w:r>
              <w:rPr>
                <w:rFonts w:hint="default" w:ascii="Times New Roman" w:hAnsi="Times New Roman" w:eastAsia="宋体" w:cs="Times New Roman"/>
                <w:color w:val="auto"/>
                <w:sz w:val="24"/>
                <w:szCs w:val="24"/>
                <w:highlight w:val="none"/>
                <w:shd w:val="clear" w:color="auto" w:fill="FFFFFF"/>
              </w:rPr>
              <w:t>运行的链条、刮板清出</w:t>
            </w:r>
            <w:r>
              <w:rPr>
                <w:rFonts w:hint="default" w:ascii="Times New Roman" w:hAnsi="Times New Roman" w:eastAsia="宋体" w:cs="Times New Roman"/>
                <w:color w:val="auto"/>
                <w:sz w:val="24"/>
                <w:szCs w:val="24"/>
                <w:highlight w:val="none"/>
              </w:rPr>
              <w:t>，运至</w:t>
            </w:r>
            <w:r>
              <w:rPr>
                <w:rFonts w:hint="default" w:ascii="Times New Roman" w:hAnsi="Times New Roman" w:eastAsia="宋体" w:cs="Times New Roman"/>
                <w:color w:val="auto"/>
                <w:sz w:val="24"/>
                <w:szCs w:val="24"/>
                <w:highlight w:val="none"/>
                <w:lang w:eastAsia="zh-CN"/>
              </w:rPr>
              <w:t>灰渣间</w:t>
            </w:r>
            <w:r>
              <w:rPr>
                <w:rFonts w:hint="default" w:ascii="Times New Roman" w:hAnsi="Times New Roman" w:eastAsia="宋体" w:cs="Times New Roman"/>
                <w:color w:val="auto"/>
                <w:sz w:val="24"/>
                <w:szCs w:val="24"/>
                <w:highlight w:val="none"/>
              </w:rPr>
              <w:t>，主要成分为草灰，含有钾、磷、钙、镁、硅、硫和铁、锰、铜、锌、硼、钼等微量营养元素；属于一般工业固废；暂存于全封闭灰渣间内，定期作为肥料施用于周边农田。</w:t>
            </w:r>
          </w:p>
          <w:p>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除灰：</w:t>
            </w:r>
            <w:r>
              <w:rPr>
                <w:rFonts w:hint="default" w:ascii="Times New Roman" w:hAnsi="Times New Roman" w:eastAsia="宋体" w:cs="Times New Roman"/>
                <w:color w:val="auto"/>
                <w:sz w:val="24"/>
                <w:szCs w:val="24"/>
                <w:highlight w:val="none"/>
                <w:lang w:val="en-US" w:eastAsia="zh-CN"/>
              </w:rPr>
              <w:t>布袋除尘器和多管旋风除尘器</w:t>
            </w:r>
            <w:r>
              <w:rPr>
                <w:rFonts w:hint="default" w:ascii="Times New Roman" w:hAnsi="Times New Roman" w:eastAsia="宋体" w:cs="Times New Roman"/>
                <w:color w:val="auto"/>
                <w:sz w:val="24"/>
                <w:szCs w:val="24"/>
                <w:highlight w:val="none"/>
              </w:rPr>
              <w:t>收集的</w:t>
            </w:r>
            <w:r>
              <w:rPr>
                <w:rFonts w:hint="default" w:ascii="Times New Roman" w:hAnsi="Times New Roman" w:eastAsia="宋体" w:cs="Times New Roman"/>
                <w:color w:val="auto"/>
                <w:sz w:val="24"/>
                <w:szCs w:val="24"/>
                <w:highlight w:val="none"/>
                <w:lang w:val="en-US" w:eastAsia="zh-CN"/>
              </w:rPr>
              <w:t>除尘灰</w:t>
            </w:r>
            <w:r>
              <w:rPr>
                <w:rFonts w:hint="default" w:ascii="Times New Roman" w:hAnsi="Times New Roman" w:eastAsia="宋体" w:cs="Times New Roman"/>
                <w:color w:val="auto"/>
                <w:sz w:val="24"/>
                <w:szCs w:val="24"/>
                <w:highlight w:val="none"/>
              </w:rPr>
              <w:t>运至封闭</w:t>
            </w:r>
            <w:r>
              <w:rPr>
                <w:rFonts w:hint="default" w:ascii="Times New Roman" w:hAnsi="Times New Roman" w:eastAsia="宋体" w:cs="Times New Roman"/>
                <w:color w:val="auto"/>
                <w:sz w:val="24"/>
                <w:szCs w:val="24"/>
                <w:highlight w:val="none"/>
                <w:lang w:eastAsia="zh-CN"/>
              </w:rPr>
              <w:t>灰渣间</w:t>
            </w:r>
            <w:r>
              <w:rPr>
                <w:rFonts w:hint="default" w:ascii="Times New Roman" w:hAnsi="Times New Roman" w:eastAsia="宋体" w:cs="Times New Roman"/>
                <w:color w:val="auto"/>
                <w:sz w:val="24"/>
                <w:szCs w:val="24"/>
                <w:highlight w:val="none"/>
              </w:rPr>
              <w:t>，主要成分为草灰，含有钾、磷、钙、镁、硅、硫和铁、锰、铜、锌、硼、钼等微量营养元素；属于一般工业固废；暂存于全封闭灰渣间内，定期作为肥料施用于周边农田。</w:t>
            </w:r>
          </w:p>
          <w:p>
            <w:pPr>
              <w:autoSpaceDE w:val="0"/>
              <w:spacing w:line="360" w:lineRule="auto"/>
              <w:ind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脱硫渣：钠碱法脱硫塔</w:t>
            </w:r>
            <w:r>
              <w:rPr>
                <w:rFonts w:hint="default" w:ascii="Times New Roman" w:hAnsi="Times New Roman" w:eastAsia="宋体" w:cs="Times New Roman"/>
                <w:bCs/>
                <w:color w:val="auto"/>
                <w:sz w:val="24"/>
                <w:szCs w:val="24"/>
                <w:highlight w:val="none"/>
                <w:lang w:val="en-US" w:eastAsia="zh-CN"/>
              </w:rPr>
              <w:t>脱硫废水</w:t>
            </w:r>
            <w:r>
              <w:rPr>
                <w:rFonts w:hint="default" w:ascii="Times New Roman" w:hAnsi="Times New Roman" w:eastAsia="宋体" w:cs="Times New Roman"/>
                <w:bCs/>
                <w:color w:val="auto"/>
                <w:sz w:val="24"/>
                <w:szCs w:val="24"/>
                <w:highlight w:val="none"/>
              </w:rPr>
              <w:t>定期清出的脱硫渣，</w:t>
            </w:r>
            <w:r>
              <w:rPr>
                <w:rFonts w:hint="default" w:ascii="Times New Roman" w:hAnsi="Times New Roman" w:eastAsia="宋体" w:cs="Times New Roman"/>
                <w:color w:val="auto"/>
                <w:sz w:val="24"/>
                <w:szCs w:val="24"/>
                <w:highlight w:val="none"/>
              </w:rPr>
              <w:t>运至</w:t>
            </w:r>
            <w:r>
              <w:rPr>
                <w:rFonts w:hint="default" w:ascii="Times New Roman" w:hAnsi="Times New Roman" w:eastAsia="宋体" w:cs="Times New Roman"/>
                <w:color w:val="auto"/>
                <w:sz w:val="24"/>
                <w:szCs w:val="24"/>
                <w:highlight w:val="none"/>
                <w:lang w:eastAsia="zh-CN"/>
              </w:rPr>
              <w:t>灰渣间</w:t>
            </w:r>
            <w:r>
              <w:rPr>
                <w:rFonts w:hint="default" w:ascii="Times New Roman" w:hAnsi="Times New Roman" w:eastAsia="宋体" w:cs="Times New Roman"/>
                <w:color w:val="auto"/>
                <w:sz w:val="24"/>
                <w:szCs w:val="24"/>
                <w:highlight w:val="none"/>
              </w:rPr>
              <w:t>，定期作为建筑材料外售。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与项目有关的原有环境污染问题</w:t>
            </w:r>
          </w:p>
        </w:tc>
        <w:tc>
          <w:tcPr>
            <w:tcW w:w="8490" w:type="dxa"/>
            <w:vAlign w:val="center"/>
          </w:tcPr>
          <w:p>
            <w:pPr>
              <w:autoSpaceDE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现有工程环保设施运行及污染物排放情况</w:t>
            </w:r>
          </w:p>
          <w:p>
            <w:pPr>
              <w:autoSpaceDE w:val="0"/>
              <w:spacing w:line="360" w:lineRule="auto"/>
              <w:ind w:firstLine="482" w:firstLineChars="200"/>
              <w:rPr>
                <w:rFonts w:hint="default" w:ascii="Times New Roman" w:hAnsi="Times New Roman" w:eastAsia="宋体" w:cs="Times New Roman"/>
                <w:b/>
                <w:bCs/>
                <w:color w:val="auto"/>
                <w:sz w:val="24"/>
                <w:szCs w:val="24"/>
                <w:highlight w:val="none"/>
              </w:rPr>
            </w:pPr>
            <w:bookmarkStart w:id="0" w:name="_Hlk97978029"/>
            <w:r>
              <w:rPr>
                <w:rFonts w:hint="default" w:ascii="Times New Roman" w:hAnsi="Times New Roman" w:eastAsia="宋体"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rPr>
              <w:t>大气污染物</w:t>
            </w:r>
          </w:p>
          <w:p>
            <w:pPr>
              <w:autoSpaceDE w:val="0"/>
              <w:spacing w:line="360" w:lineRule="auto"/>
              <w:ind w:firstLine="480" w:firstLineChars="200"/>
              <w:rPr>
                <w:rFonts w:hint="default" w:ascii="Times New Roman" w:hAnsi="Times New Roman" w:eastAsia="宋体" w:cs="Times New Roman"/>
                <w:color w:val="auto"/>
                <w:sz w:val="24"/>
                <w:szCs w:val="24"/>
                <w:highlight w:val="none"/>
              </w:rPr>
            </w:pPr>
            <w:bookmarkStart w:id="1" w:name="_Hlk97926673"/>
            <w:r>
              <w:rPr>
                <w:rFonts w:hint="default" w:ascii="Times New Roman" w:hAnsi="Times New Roman" w:eastAsia="宋体" w:cs="Times New Roman"/>
                <w:color w:val="auto"/>
                <w:sz w:val="24"/>
                <w:szCs w:val="24"/>
                <w:highlight w:val="none"/>
              </w:rPr>
              <w:t>现有</w:t>
            </w:r>
            <w:r>
              <w:rPr>
                <w:rFonts w:hint="default" w:ascii="Times New Roman" w:hAnsi="Times New Roman" w:eastAsia="宋体" w:cs="Times New Roman"/>
                <w:color w:val="auto"/>
                <w:sz w:val="24"/>
                <w:szCs w:val="24"/>
                <w:lang w:val="en-US" w:eastAsia="zh-CN"/>
              </w:rPr>
              <w:t>项目建设1台</w:t>
            </w:r>
            <w:r>
              <w:rPr>
                <w:rFonts w:hint="eastAsia" w:ascii="Times New Roman" w:hAnsi="Times New Roman" w:eastAsia="宋体" w:cs="Times New Roman"/>
                <w:color w:val="auto"/>
                <w:sz w:val="24"/>
                <w:szCs w:val="24"/>
                <w:highlight w:val="none"/>
                <w:lang w:eastAsia="zh-CN"/>
              </w:rPr>
              <w:t>7MW</w:t>
            </w:r>
            <w:r>
              <w:rPr>
                <w:rFonts w:hint="default" w:ascii="Times New Roman" w:hAnsi="Times New Roman" w:eastAsia="宋体" w:cs="Times New Roman"/>
                <w:color w:val="auto"/>
                <w:sz w:val="24"/>
                <w:szCs w:val="24"/>
                <w:highlight w:val="none"/>
                <w:lang w:eastAsia="zh-CN"/>
              </w:rPr>
              <w:t>燃煤热水锅炉，</w:t>
            </w:r>
            <w:r>
              <w:rPr>
                <w:rFonts w:hint="default" w:ascii="Times New Roman" w:hAnsi="Times New Roman" w:eastAsia="宋体" w:cs="Times New Roman"/>
                <w:color w:val="auto"/>
                <w:sz w:val="24"/>
                <w:szCs w:val="24"/>
                <w:lang w:val="en-US" w:eastAsia="zh-CN"/>
              </w:rPr>
              <w:t>燃烧过程产生的颗粒物、SO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、汞及其化合物、</w:t>
            </w:r>
            <w:r>
              <w:rPr>
                <w:rFonts w:hint="default" w:ascii="Times New Roman" w:hAnsi="Times New Roman" w:eastAsia="宋体" w:cs="Times New Roman"/>
                <w:color w:val="auto"/>
                <w:sz w:val="24"/>
                <w:szCs w:val="24"/>
                <w:lang w:eastAsia="zh-CN"/>
              </w:rPr>
              <w:t>烟气黑度，</w:t>
            </w:r>
            <w:r>
              <w:rPr>
                <w:rFonts w:hint="default" w:ascii="Times New Roman" w:hAnsi="Times New Roman" w:eastAsia="宋体" w:cs="Times New Roman"/>
                <w:color w:val="auto"/>
                <w:sz w:val="24"/>
                <w:szCs w:val="24"/>
                <w:highlight w:val="none"/>
                <w:lang w:val="en-US" w:eastAsia="zh-CN"/>
              </w:rPr>
              <w:t>废气经多管旋风除尘器+布袋除尘器</w:t>
            </w:r>
            <w:r>
              <w:rPr>
                <w:rFonts w:hint="default" w:ascii="Times New Roman" w:hAnsi="Times New Roman" w:eastAsia="宋体" w:cs="Times New Roman"/>
                <w:color w:val="auto"/>
                <w:sz w:val="24"/>
                <w:szCs w:val="24"/>
                <w:lang w:val="en-US" w:eastAsia="zh-CN"/>
              </w:rPr>
              <w:t>+钠碱法脱硫塔</w:t>
            </w:r>
            <w:r>
              <w:rPr>
                <w:rFonts w:hint="default" w:ascii="Times New Roman" w:hAnsi="Times New Roman" w:eastAsia="宋体" w:cs="Times New Roman"/>
                <w:color w:val="auto"/>
                <w:sz w:val="24"/>
                <w:szCs w:val="24"/>
                <w:highlight w:val="none"/>
                <w:lang w:val="en-US" w:eastAsia="zh-CN"/>
              </w:rPr>
              <w:t>处理，由1根40m高排气筒排放。</w:t>
            </w:r>
            <w:r>
              <w:rPr>
                <w:rFonts w:hint="default" w:ascii="Times New Roman" w:hAnsi="Times New Roman" w:eastAsia="宋体" w:cs="Times New Roman"/>
                <w:color w:val="auto"/>
                <w:sz w:val="24"/>
                <w:szCs w:val="24"/>
                <w:highlight w:val="none"/>
              </w:rPr>
              <w:t>锅炉年运营时间</w:t>
            </w:r>
            <w:r>
              <w:rPr>
                <w:rFonts w:hint="default" w:ascii="Times New Roman" w:hAnsi="Times New Roman" w:eastAsia="宋体"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每天运行24h，年运行为</w:t>
            </w:r>
            <w:r>
              <w:rPr>
                <w:rFonts w:hint="default" w:ascii="Times New Roman" w:hAnsi="Times New Roman" w:eastAsia="宋体" w:cs="Times New Roman"/>
                <w:color w:val="auto"/>
                <w:sz w:val="24"/>
                <w:szCs w:val="24"/>
                <w:highlight w:val="none"/>
                <w:lang w:val="en-US" w:eastAsia="zh-CN"/>
              </w:rPr>
              <w:t>4320</w:t>
            </w:r>
            <w:r>
              <w:rPr>
                <w:rFonts w:hint="default" w:ascii="Times New Roman" w:hAnsi="Times New Roman" w:eastAsia="宋体" w:cs="Times New Roman"/>
                <w:color w:val="auto"/>
                <w:sz w:val="24"/>
                <w:szCs w:val="24"/>
                <w:highlight w:val="none"/>
              </w:rPr>
              <w:t>h。环评期间未收到现有锅炉的烟气监测数据。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（1）颗粒物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color w:val="auto"/>
                <w:sz w:val="24"/>
                <w:szCs w:val="24"/>
              </w:rPr>
              <w:t>颗粒物产污系数</w:t>
            </w:r>
            <w:r>
              <w:rPr>
                <w:rFonts w:hint="default" w:ascii="Times New Roman" w:hAnsi="Times New Roman" w:eastAsia="宋体" w:cs="Times New Roman"/>
                <w:b w:val="0"/>
                <w:bCs w:val="0"/>
                <w:color w:val="auto"/>
                <w:kern w:val="0"/>
                <w:sz w:val="24"/>
                <w:szCs w:val="24"/>
                <w:lang w:val="en-US" w:eastAsia="zh-CN"/>
              </w:rPr>
              <w:t>按1.25</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千克</w:t>
            </w:r>
            <w:r>
              <w:rPr>
                <w:rFonts w:hint="default" w:ascii="Times New Roman" w:hAnsi="Times New Roman" w:eastAsia="宋体" w:cs="Times New Roman"/>
                <w:b w:val="0"/>
                <w:bCs w:val="0"/>
                <w:color w:val="auto"/>
                <w:kern w:val="0"/>
                <w:sz w:val="24"/>
                <w:szCs w:val="24"/>
                <w:lang w:val="en-US" w:eastAsia="zh-CN"/>
              </w:rPr>
              <w:t>/吨-原料</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计算</w:t>
            </w:r>
            <w:r>
              <w:rPr>
                <w:rFonts w:hint="default" w:ascii="Times New Roman" w:hAnsi="Times New Roman" w:eastAsia="宋体" w:cs="Times New Roman"/>
                <w:color w:val="auto"/>
                <w:sz w:val="24"/>
                <w:szCs w:val="24"/>
              </w:rPr>
              <w:t>，根据煤质分析表可知，本项目所用燃煤的灰分含量为</w:t>
            </w:r>
            <w:r>
              <w:rPr>
                <w:rFonts w:hint="default" w:ascii="Times New Roman" w:hAnsi="Times New Roman" w:eastAsia="宋体" w:cs="Times New Roman"/>
                <w:color w:val="auto"/>
                <w:sz w:val="24"/>
                <w:szCs w:val="24"/>
                <w:lang w:val="en-US" w:eastAsia="zh-CN"/>
              </w:rPr>
              <w:t>5.37</w:t>
            </w:r>
            <w:r>
              <w:rPr>
                <w:rFonts w:hint="default" w:ascii="Times New Roman" w:hAnsi="Times New Roman" w:eastAsia="宋体" w:cs="Times New Roman"/>
                <w:color w:val="auto"/>
                <w:sz w:val="24"/>
                <w:szCs w:val="24"/>
              </w:rPr>
              <w:t>%，则1台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rPr>
              <w:t>燃煤热风炉</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为1.25×</w:t>
            </w:r>
            <w:r>
              <w:rPr>
                <w:rFonts w:hint="default" w:ascii="Times New Roman" w:hAnsi="Times New Roman" w:eastAsia="宋体" w:cs="Times New Roman"/>
                <w:color w:val="auto"/>
                <w:sz w:val="24"/>
                <w:szCs w:val="24"/>
                <w:lang w:val="en-US" w:eastAsia="zh-CN"/>
              </w:rPr>
              <w:t>5.37</w:t>
            </w:r>
            <w:r>
              <w:rPr>
                <w:rFonts w:hint="default" w:ascii="Times New Roman" w:hAnsi="Times New Roman" w:eastAsia="宋体" w:cs="Times New Roman"/>
                <w:color w:val="auto"/>
                <w:sz w:val="24"/>
                <w:szCs w:val="24"/>
              </w:rPr>
              <w:t>kg/t×</w:t>
            </w:r>
            <w:r>
              <w:rPr>
                <w:rFonts w:hint="default" w:ascii="Times New Roman" w:hAnsi="Times New Roman" w:eastAsia="宋体" w:cs="Times New Roman"/>
                <w:color w:val="auto"/>
                <w:sz w:val="24"/>
                <w:szCs w:val="24"/>
                <w:lang w:val="en-US" w:eastAsia="zh-CN"/>
              </w:rPr>
              <w:t>722</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4.85t/a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多管旋风除尘器</w:t>
            </w:r>
            <w:r>
              <w:rPr>
                <w:rFonts w:hint="default"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4"/>
                <w:lang w:val="en-US" w:eastAsia="zh-CN"/>
              </w:rPr>
              <w:t>+钠碱法脱硫塔</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color w:val="auto"/>
                <w:sz w:val="24"/>
                <w:szCs w:val="24"/>
                <w:lang w:eastAsia="zh-CN"/>
              </w:rPr>
              <w:t>多管除尘法去除效率为</w:t>
            </w:r>
            <w:r>
              <w:rPr>
                <w:rFonts w:hint="default" w:ascii="Times New Roman" w:hAnsi="Times New Roman" w:eastAsia="宋体" w:cs="Times New Roman"/>
                <w:color w:val="auto"/>
                <w:sz w:val="24"/>
                <w:szCs w:val="24"/>
                <w:lang w:val="en-US" w:eastAsia="zh-CN"/>
              </w:rPr>
              <w:t>70%（本次评价取50%）、</w:t>
            </w:r>
            <w:r>
              <w:rPr>
                <w:rFonts w:hint="default"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4"/>
                <w:lang w:eastAsia="zh-CN"/>
              </w:rPr>
              <w:t>去除效率为</w:t>
            </w:r>
            <w:r>
              <w:rPr>
                <w:rFonts w:hint="default" w:ascii="Times New Roman" w:hAnsi="Times New Roman" w:eastAsia="宋体" w:cs="Times New Roman"/>
                <w:color w:val="auto"/>
                <w:sz w:val="24"/>
                <w:szCs w:val="24"/>
                <w:lang w:val="en-US" w:eastAsia="zh-CN"/>
              </w:rPr>
              <w:t>99%（本次评价取90%）、湿式除尘</w:t>
            </w:r>
            <w:r>
              <w:rPr>
                <w:rFonts w:hint="default" w:ascii="Times New Roman" w:hAnsi="Times New Roman" w:eastAsia="宋体" w:cs="Times New Roman"/>
                <w:color w:val="auto"/>
                <w:sz w:val="24"/>
                <w:szCs w:val="24"/>
                <w:lang w:eastAsia="zh-CN"/>
              </w:rPr>
              <w:t>去除效率为</w:t>
            </w:r>
            <w:r>
              <w:rPr>
                <w:rFonts w:hint="default" w:ascii="Times New Roman" w:hAnsi="Times New Roman" w:eastAsia="宋体" w:cs="Times New Roman"/>
                <w:color w:val="auto"/>
                <w:sz w:val="24"/>
                <w:szCs w:val="24"/>
                <w:lang w:val="en-US" w:eastAsia="zh-CN"/>
              </w:rPr>
              <w:t>87%（本次评价取50%）。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则1台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lang w:val="en-US" w:eastAsia="zh-CN"/>
              </w:rPr>
              <w:t>燃煤热风炉</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排放</w:t>
            </w:r>
            <w:r>
              <w:rPr>
                <w:rFonts w:hint="default" w:ascii="Times New Roman" w:hAnsi="Times New Roman" w:eastAsia="宋体" w:cs="Times New Roman"/>
                <w:color w:val="auto"/>
                <w:sz w:val="24"/>
                <w:szCs w:val="24"/>
                <w:lang w:val="en-US" w:eastAsia="zh-CN"/>
              </w:rPr>
              <w:t>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0.12</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/a。</w:t>
            </w:r>
          </w:p>
          <w:p>
            <w:pPr>
              <w:pStyle w:val="2"/>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二氧化硫产污系数按16S（千克/吨-原料）计算</w:t>
            </w:r>
            <w:r>
              <w:rPr>
                <w:rFonts w:hint="default" w:ascii="Times New Roman" w:hAnsi="Times New Roman" w:eastAsia="宋体" w:cs="Times New Roman"/>
                <w:color w:val="auto"/>
                <w:sz w:val="24"/>
                <w:szCs w:val="24"/>
              </w:rPr>
              <w:t>，根据煤质分析表可知，本项目所用燃煤的硫分含量为</w:t>
            </w:r>
            <w:r>
              <w:rPr>
                <w:rFonts w:hint="default" w:ascii="Times New Roman" w:hAnsi="Times New Roman" w:eastAsia="宋体" w:cs="Times New Roman"/>
                <w:color w:val="auto"/>
                <w:sz w:val="24"/>
                <w:szCs w:val="24"/>
                <w:lang w:eastAsia="zh-CN"/>
              </w:rPr>
              <w:t>0.35</w:t>
            </w:r>
            <w:r>
              <w:rPr>
                <w:rFonts w:hint="default" w:ascii="Times New Roman" w:hAnsi="Times New Roman" w:eastAsia="宋体" w:cs="Times New Roman"/>
                <w:color w:val="auto"/>
                <w:sz w:val="24"/>
                <w:szCs w:val="24"/>
              </w:rPr>
              <w:t>%，则1台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rPr>
              <w:t>燃煤热风炉</w:t>
            </w:r>
            <w:r>
              <w:rPr>
                <w:rFonts w:hint="default" w:ascii="Times New Roman" w:hAnsi="Times New Roman" w:eastAsia="宋体" w:cs="Times New Roman"/>
                <w:bCs/>
                <w:color w:val="auto"/>
                <w:sz w:val="24"/>
                <w:szCs w:val="24"/>
              </w:rPr>
              <w:t>二氧化硫</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0.35</w:t>
            </w:r>
            <w:r>
              <w:rPr>
                <w:rFonts w:hint="default" w:ascii="Times New Roman" w:hAnsi="Times New Roman" w:eastAsia="宋体" w:cs="Times New Roman"/>
                <w:color w:val="auto"/>
                <w:sz w:val="24"/>
                <w:szCs w:val="24"/>
              </w:rPr>
              <w:t>kg/t×</w:t>
            </w:r>
            <w:r>
              <w:rPr>
                <w:rFonts w:hint="default" w:ascii="Times New Roman" w:hAnsi="Times New Roman" w:eastAsia="宋体" w:cs="Times New Roman"/>
                <w:color w:val="auto"/>
                <w:sz w:val="24"/>
                <w:szCs w:val="24"/>
                <w:lang w:eastAsia="zh-CN"/>
              </w:rPr>
              <w:t>722t/a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4.04t/a；</w:t>
            </w: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多管旋风除尘器</w:t>
            </w:r>
            <w:r>
              <w:rPr>
                <w:rFonts w:hint="default"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0"/>
                <w:lang w:val="en-US" w:eastAsia="zh-CN"/>
              </w:rPr>
              <w:t>+钠碱法脱硫塔</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，钠碱法脱硫效率为92.5%</w:t>
            </w:r>
            <w:r>
              <w:rPr>
                <w:rFonts w:hint="default" w:ascii="Times New Roman" w:hAnsi="Times New Roman" w:eastAsia="宋体" w:cs="Times New Roman"/>
                <w:color w:val="auto"/>
                <w:sz w:val="24"/>
                <w:szCs w:val="24"/>
                <w:lang w:val="en-US" w:eastAsia="zh-CN"/>
              </w:rPr>
              <w:t>（本次评价取80%）。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bCs/>
                <w:color w:val="auto"/>
                <w:sz w:val="24"/>
                <w:szCs w:val="24"/>
              </w:rPr>
              <w:t>燃煤热风炉二氧化硫</w:t>
            </w:r>
            <w:r>
              <w:rPr>
                <w:rFonts w:hint="default" w:ascii="Times New Roman" w:hAnsi="Times New Roman" w:eastAsia="宋体" w:cs="Times New Roman"/>
                <w:color w:val="auto"/>
                <w:sz w:val="24"/>
                <w:szCs w:val="24"/>
              </w:rPr>
              <w:t>排放量</w:t>
            </w:r>
            <w:r>
              <w:rPr>
                <w:rFonts w:hint="default" w:ascii="Times New Roman" w:hAnsi="Times New Roman" w:eastAsia="宋体" w:cs="Times New Roman"/>
                <w:color w:val="auto"/>
                <w:sz w:val="24"/>
                <w:szCs w:val="24"/>
                <w:lang w:val="en-US" w:eastAsia="zh-CN"/>
              </w:rPr>
              <w:t>为0.81t/a</w:t>
            </w:r>
            <w:r>
              <w:rPr>
                <w:rFonts w:hint="default" w:ascii="Times New Roman" w:hAnsi="Times New Roman" w:eastAsia="宋体" w:cs="Times New Roman"/>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）氮氧化物</w:t>
            </w:r>
          </w:p>
          <w:p>
            <w:pPr>
              <w:pStyle w:val="2"/>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产污系数2.94（</w:t>
            </w:r>
            <w:r>
              <w:rPr>
                <w:rFonts w:hint="default" w:ascii="Times New Roman" w:hAnsi="Times New Roman" w:eastAsia="宋体" w:cs="Times New Roman"/>
                <w:b w:val="0"/>
                <w:bCs w:val="0"/>
                <w:color w:val="auto"/>
                <w:kern w:val="0"/>
                <w:sz w:val="24"/>
                <w:szCs w:val="24"/>
                <w:lang w:val="en-US" w:eastAsia="zh-CN"/>
              </w:rPr>
              <w:t>千克/吨-原料</w:t>
            </w:r>
            <w:r>
              <w:rPr>
                <w:rFonts w:hint="default" w:ascii="Times New Roman" w:hAnsi="Times New Roman" w:eastAsia="宋体" w:cs="Times New Roman"/>
                <w:color w:val="auto"/>
                <w:sz w:val="24"/>
                <w:szCs w:val="24"/>
              </w:rPr>
              <w:t>），则1台</w:t>
            </w:r>
            <w:r>
              <w:rPr>
                <w:rFonts w:hint="eastAsia" w:eastAsia="宋体" w:cs="Times New Roman"/>
                <w:color w:val="auto"/>
                <w:sz w:val="24"/>
                <w:szCs w:val="24"/>
                <w:lang w:val="en-US" w:eastAsia="zh-CN"/>
              </w:rPr>
              <w:t>7MW</w:t>
            </w:r>
            <w:r>
              <w:rPr>
                <w:rFonts w:hint="default" w:ascii="Times New Roman" w:hAnsi="Times New Roman" w:eastAsia="宋体" w:cs="Times New Roman"/>
                <w:color w:val="auto"/>
                <w:sz w:val="24"/>
                <w:szCs w:val="24"/>
              </w:rPr>
              <w:t>燃煤热风炉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为2.94kg/t×</w:t>
            </w:r>
            <w:r>
              <w:rPr>
                <w:rFonts w:hint="default" w:ascii="Times New Roman" w:hAnsi="Times New Roman" w:eastAsia="宋体" w:cs="Times New Roman"/>
                <w:color w:val="auto"/>
                <w:sz w:val="24"/>
                <w:szCs w:val="24"/>
                <w:lang w:eastAsia="zh-CN"/>
              </w:rPr>
              <w:t>722t/a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2.12t/a</w:t>
            </w:r>
            <w:r>
              <w:rPr>
                <w:rFonts w:hint="default" w:ascii="Times New Roman" w:hAnsi="Times New Roman" w:eastAsia="宋体" w:cs="Times New Roman"/>
                <w:bCs/>
                <w:color w:val="auto"/>
                <w:sz w:val="24"/>
                <w:szCs w:val="24"/>
              </w:rPr>
              <w:t>，1台</w:t>
            </w:r>
            <w:r>
              <w:rPr>
                <w:rFonts w:hint="eastAsia" w:eastAsia="宋体" w:cs="Times New Roman"/>
                <w:bCs/>
                <w:color w:val="auto"/>
                <w:sz w:val="24"/>
                <w:szCs w:val="24"/>
                <w:lang w:val="en-US" w:eastAsia="zh-CN"/>
              </w:rPr>
              <w:t>7MW</w:t>
            </w:r>
            <w:r>
              <w:rPr>
                <w:rFonts w:hint="default" w:ascii="Times New Roman" w:hAnsi="Times New Roman" w:eastAsia="宋体" w:cs="Times New Roman"/>
                <w:bCs/>
                <w:color w:val="auto"/>
                <w:sz w:val="24"/>
                <w:szCs w:val="24"/>
              </w:rPr>
              <w:t>燃煤热风炉氮氧化物</w:t>
            </w:r>
            <w:r>
              <w:rPr>
                <w:rFonts w:hint="default" w:ascii="Times New Roman" w:hAnsi="Times New Roman" w:eastAsia="宋体" w:cs="Times New Roman"/>
                <w:color w:val="auto"/>
                <w:sz w:val="24"/>
                <w:szCs w:val="24"/>
              </w:rPr>
              <w:t>排放量为</w:t>
            </w:r>
            <w:r>
              <w:rPr>
                <w:rFonts w:hint="default" w:ascii="Times New Roman" w:hAnsi="Times New Roman" w:eastAsia="宋体" w:cs="Times New Roman"/>
                <w:color w:val="auto"/>
                <w:sz w:val="24"/>
                <w:szCs w:val="24"/>
                <w:lang w:val="en-US" w:eastAsia="zh-CN"/>
              </w:rPr>
              <w:t>2.12t/a</w:t>
            </w:r>
            <w:r>
              <w:rPr>
                <w:rFonts w:hint="default" w:ascii="Times New Roman" w:hAnsi="Times New Roman" w:eastAsia="宋体" w:cs="Times New Roman"/>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eastAsia="zh-CN"/>
              </w:rPr>
              <w:t>汞</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根据《污染源源强核算技术指南 锅炉》 </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HJ991-2018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szCs w:val="24"/>
              </w:rPr>
              <w:t>排放量采用物料衡算法计算，计算公式：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5255895" cy="2051050"/>
                  <wp:effectExtent l="0" t="0" r="1905" b="635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9"/>
                          <a:stretch>
                            <a:fillRect/>
                          </a:stretch>
                        </pic:blipFill>
                        <pic:spPr>
                          <a:xfrm>
                            <a:off x="0" y="0"/>
                            <a:ext cx="5255895" cy="2051050"/>
                          </a:xfrm>
                          <a:prstGeom prst="rect">
                            <a:avLst/>
                          </a:prstGeom>
                          <a:noFill/>
                          <a:ln>
                            <a:noFill/>
                          </a:ln>
                        </pic:spPr>
                      </pic:pic>
                    </a:graphicData>
                  </a:graphic>
                </wp:inline>
              </w:drawing>
            </w:r>
          </w:p>
          <w:p>
            <w:pPr>
              <w:pStyle w:val="10"/>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查阅相关文献《煤粉锅炉烟气中汞形态分析的实验研究》，我国煤中汞的平均含量为0.22mg/kg</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为0.22mg/kg×</w:t>
            </w:r>
            <w:r>
              <w:rPr>
                <w:rFonts w:hint="default" w:ascii="Times New Roman" w:hAnsi="Times New Roman" w:eastAsia="宋体" w:cs="Times New Roman"/>
                <w:color w:val="auto"/>
                <w:sz w:val="24"/>
                <w:szCs w:val="24"/>
                <w:lang w:eastAsia="zh-CN"/>
              </w:rPr>
              <w:t>722t/a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0.00016t/a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
                <w:sz w:val="24"/>
                <w:szCs w:val="24"/>
                <w:lang w:val="en-US" w:eastAsia="zh-CN" w:bidi="ar"/>
              </w:rPr>
              <w:t>烟气除尘和湿法脱硫等污染防治对汞具有协同脱出效果，脱除效率约为70%，本项目取30%，汞排放量为0.00011t/a。</w:t>
            </w:r>
          </w:p>
          <w:p>
            <w:pPr>
              <w:pStyle w:val="10"/>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lang w:eastAsia="zh-CN"/>
              </w:rPr>
              <w:t>项目燃煤热风炉废气的</w:t>
            </w:r>
            <w:r>
              <w:rPr>
                <w:rFonts w:hint="default" w:ascii="Times New Roman" w:hAnsi="Times New Roman" w:eastAsia="宋体" w:cs="Times New Roman"/>
                <w:color w:val="auto"/>
                <w:sz w:val="24"/>
                <w:szCs w:val="24"/>
              </w:rPr>
              <w:t>产排情况见表</w:t>
            </w:r>
            <w:r>
              <w:rPr>
                <w:rFonts w:hint="default" w:ascii="Times New Roman" w:hAnsi="Times New Roman" w:eastAsia="宋体" w:cs="Times New Roman"/>
                <w:color w:val="auto"/>
                <w:sz w:val="24"/>
                <w:szCs w:val="24"/>
                <w:lang w:val="en-US" w:eastAsia="zh-CN"/>
              </w:rPr>
              <w:t>2-11</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2-11   燃煤锅炉废气</w:t>
            </w:r>
            <w:r>
              <w:rPr>
                <w:rFonts w:hint="default" w:ascii="Times New Roman" w:hAnsi="Times New Roman" w:eastAsia="宋体" w:cs="Times New Roman"/>
                <w:b/>
                <w:bCs/>
                <w:color w:val="auto"/>
                <w:sz w:val="24"/>
                <w:szCs w:val="24"/>
              </w:rPr>
              <w:t>污染物</w:t>
            </w:r>
            <w:r>
              <w:rPr>
                <w:rFonts w:hint="default" w:ascii="Times New Roman" w:hAnsi="Times New Roman" w:eastAsia="宋体" w:cs="Times New Roman"/>
                <w:b/>
                <w:bCs/>
                <w:color w:val="auto"/>
                <w:sz w:val="24"/>
                <w:szCs w:val="24"/>
                <w:lang w:val="en-US" w:eastAsia="zh-CN"/>
              </w:rPr>
              <w:t>产排</w:t>
            </w:r>
            <w:r>
              <w:rPr>
                <w:rFonts w:hint="default" w:ascii="Times New Roman" w:hAnsi="Times New Roman" w:eastAsia="宋体" w:cs="Times New Roman"/>
                <w:b/>
                <w:bCs/>
                <w:color w:val="auto"/>
                <w:sz w:val="24"/>
                <w:szCs w:val="24"/>
              </w:rPr>
              <w:t>情况</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81"/>
              <w:gridCol w:w="646"/>
              <w:gridCol w:w="746"/>
              <w:gridCol w:w="851"/>
              <w:gridCol w:w="746"/>
              <w:gridCol w:w="746"/>
              <w:gridCol w:w="746"/>
              <w:gridCol w:w="851"/>
              <w:gridCol w:w="852"/>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燃料名称</w:t>
                  </w:r>
                </w:p>
              </w:tc>
              <w:tc>
                <w:tcPr>
                  <w:tcW w:w="68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风机风量</w:t>
                  </w: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产生浓度mg/m</w:t>
                  </w:r>
                  <w:r>
                    <w:rPr>
                      <w:rFonts w:hint="default" w:ascii="Times New Roman" w:hAnsi="Times New Roman" w:eastAsia="宋体" w:cs="Times New Roman"/>
                      <w:color w:val="auto"/>
                      <w:sz w:val="21"/>
                      <w:szCs w:val="21"/>
                      <w:vertAlign w:val="superscript"/>
                    </w:rPr>
                    <w:t>3</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环保措施</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排放量</w:t>
                  </w:r>
                  <w:r>
                    <w:rPr>
                      <w:rFonts w:hint="default" w:ascii="Times New Roman" w:hAnsi="Times New Roman" w:eastAsia="宋体" w:cs="Times New Roman"/>
                      <w:color w:val="auto"/>
                      <w:sz w:val="21"/>
                      <w:szCs w:val="21"/>
                    </w:rPr>
                    <w:t>t/a</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排放速率</w:t>
                  </w:r>
                  <w:r>
                    <w:rPr>
                      <w:rFonts w:hint="default" w:ascii="Times New Roman" w:hAnsi="Times New Roman" w:eastAsia="宋体" w:cs="Times New Roman"/>
                      <w:color w:val="auto"/>
                      <w:sz w:val="21"/>
                      <w:szCs w:val="21"/>
                      <w:lang w:val="en-US" w:eastAsia="zh-CN"/>
                    </w:rPr>
                    <w:t>kg/h</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排放</w:t>
                  </w: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排放限值</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煤</w:t>
                  </w:r>
                </w:p>
              </w:tc>
              <w:tc>
                <w:tcPr>
                  <w:tcW w:w="681"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4.85</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561.3 </w:t>
                  </w:r>
                </w:p>
              </w:tc>
              <w:tc>
                <w:tcPr>
                  <w:tcW w:w="746"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多管旋风除尘器+布袋除尘器+钠碱法脱硫塔</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w:t>
                  </w:r>
                </w:p>
              </w:tc>
              <w:tc>
                <w:tcPr>
                  <w:tcW w:w="746" w:type="dxa"/>
                  <w:shd w:val="clear" w:color="auto" w:fill="auto"/>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0.028 </w:t>
                  </w:r>
                </w:p>
              </w:tc>
              <w:tc>
                <w:tcPr>
                  <w:tcW w:w="851" w:type="dxa"/>
                  <w:shd w:val="clear" w:color="auto" w:fill="auto"/>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13.9 </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74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4.04</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467.6 </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0.81</w:t>
                  </w:r>
                </w:p>
              </w:tc>
              <w:tc>
                <w:tcPr>
                  <w:tcW w:w="746" w:type="dxa"/>
                  <w:shd w:val="clear" w:color="auto" w:fill="auto"/>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0.188 </w:t>
                  </w:r>
                </w:p>
              </w:tc>
              <w:tc>
                <w:tcPr>
                  <w:tcW w:w="851" w:type="dxa"/>
                  <w:shd w:val="clear" w:color="auto" w:fill="auto"/>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93.8 </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74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2.12</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245.4</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2.12</w:t>
                  </w:r>
                </w:p>
              </w:tc>
              <w:tc>
                <w:tcPr>
                  <w:tcW w:w="746" w:type="dxa"/>
                  <w:shd w:val="clear" w:color="auto" w:fill="auto"/>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0.491 </w:t>
                  </w:r>
                </w:p>
              </w:tc>
              <w:tc>
                <w:tcPr>
                  <w:tcW w:w="851" w:type="dxa"/>
                  <w:shd w:val="clear" w:color="auto" w:fill="auto"/>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245.4</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74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汞</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0.00016</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0.019 </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0.00011</w:t>
                  </w:r>
                </w:p>
              </w:tc>
              <w:tc>
                <w:tcPr>
                  <w:tcW w:w="746" w:type="dxa"/>
                  <w:shd w:val="clear" w:color="auto" w:fill="auto"/>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0.000025 </w:t>
                  </w:r>
                </w:p>
              </w:tc>
              <w:tc>
                <w:tcPr>
                  <w:tcW w:w="851" w:type="dxa"/>
                  <w:shd w:val="clear" w:color="auto" w:fill="auto"/>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0.013 </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74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达标排放</w:t>
                  </w:r>
                </w:p>
              </w:tc>
            </w:tr>
            <w:bookmarkEnd w:id="0"/>
          </w:tbl>
          <w:p>
            <w:pPr>
              <w:keepNext w:val="0"/>
              <w:keepLines w:val="0"/>
              <w:pageBreakBefore w:val="0"/>
              <w:widowControl w:val="0"/>
              <w:kinsoku/>
              <w:wordWrap/>
              <w:overflowPunct/>
              <w:topLinePunct w:val="0"/>
              <w:autoSpaceDE w:val="0"/>
              <w:autoSpaceDN/>
              <w:bidi w:val="0"/>
              <w:adjustRightIn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废</w:t>
            </w:r>
            <w:r>
              <w:rPr>
                <w:rFonts w:hint="default" w:ascii="Times New Roman" w:hAnsi="Times New Roman" w:eastAsia="宋体" w:cs="Times New Roman"/>
                <w:b/>
                <w:bCs/>
                <w:color w:val="auto"/>
                <w:sz w:val="24"/>
                <w:szCs w:val="24"/>
                <w:highlight w:val="none"/>
              </w:rPr>
              <w:t>水环境污染物</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软水制备废水和锅炉排污水用于灰渣库抑尘、出渣机补水、空地降尘洒水，不外排</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出渣机废水循环使用，定期补水，不外排</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灰渣间抑尘用水</w:t>
            </w:r>
            <w:r>
              <w:rPr>
                <w:rFonts w:hint="default" w:ascii="Times New Roman" w:hAnsi="Times New Roman" w:eastAsia="宋体" w:cs="Times New Roman"/>
                <w:color w:val="auto"/>
                <w:sz w:val="24"/>
                <w:szCs w:val="24"/>
                <w:highlight w:val="none"/>
              </w:rPr>
              <w:t>全部被灰渣吸收，通过自然蒸发，无废水产生</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钠碱法脱硫塔</w:t>
            </w:r>
            <w:r>
              <w:rPr>
                <w:rFonts w:hint="default" w:ascii="Times New Roman" w:hAnsi="Times New Roman" w:eastAsia="宋体" w:cs="Times New Roman"/>
                <w:color w:val="auto"/>
                <w:sz w:val="24"/>
                <w:szCs w:val="24"/>
                <w:highlight w:val="none"/>
                <w:lang w:eastAsia="zh-CN"/>
              </w:rPr>
              <w:t>底部设置</w:t>
            </w:r>
            <w:r>
              <w:rPr>
                <w:rFonts w:hint="default" w:ascii="Times New Roman" w:hAnsi="Times New Roman" w:eastAsia="宋体" w:cs="Times New Roman"/>
                <w:color w:val="auto"/>
                <w:sz w:val="24"/>
                <w:szCs w:val="24"/>
                <w:highlight w:val="none"/>
                <w:lang w:val="en-US" w:eastAsia="zh-CN"/>
              </w:rPr>
              <w:t>1座三级沉淀池，</w:t>
            </w:r>
            <w:r>
              <w:rPr>
                <w:rFonts w:hint="default" w:ascii="Times New Roman" w:hAnsi="Times New Roman" w:eastAsia="宋体" w:cs="Times New Roman"/>
                <w:color w:val="auto"/>
                <w:sz w:val="24"/>
                <w:szCs w:val="24"/>
                <w:highlight w:val="none"/>
                <w:lang w:bidi="ar"/>
              </w:rPr>
              <w:t>包括二级沉淀池</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总容积12m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）和清水池</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容积3m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eastAsia="zh-CN"/>
              </w:rPr>
              <w:t>脱硫塔内脱硫废水</w:t>
            </w:r>
            <w:r>
              <w:rPr>
                <w:rFonts w:hint="default" w:ascii="Times New Roman" w:hAnsi="Times New Roman" w:eastAsia="宋体" w:cs="Times New Roman"/>
                <w:color w:val="auto"/>
                <w:sz w:val="24"/>
                <w:szCs w:val="24"/>
                <w:highlight w:val="none"/>
                <w:lang w:val="en-US" w:eastAsia="zh-CN"/>
              </w:rPr>
              <w:t>经沉淀后</w:t>
            </w:r>
            <w:r>
              <w:rPr>
                <w:rFonts w:hint="default" w:ascii="Times New Roman" w:hAnsi="Times New Roman" w:eastAsia="宋体" w:cs="Times New Roman"/>
                <w:color w:val="auto"/>
                <w:sz w:val="24"/>
                <w:szCs w:val="24"/>
                <w:highlight w:val="none"/>
              </w:rPr>
              <w:t>循环使用，不外排</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生活污水产生量为</w:t>
            </w:r>
            <w:r>
              <w:rPr>
                <w:rFonts w:hint="default" w:ascii="Times New Roman" w:hAnsi="Times New Roman" w:eastAsia="宋体" w:cs="Times New Roman"/>
                <w:color w:val="auto"/>
                <w:sz w:val="24"/>
                <w:szCs w:val="24"/>
                <w:highlight w:val="none"/>
                <w:lang w:val="en-US" w:eastAsia="zh-CN"/>
              </w:rPr>
              <w:t>0.32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/d（</w:t>
            </w:r>
            <w:r>
              <w:rPr>
                <w:rFonts w:hint="default" w:ascii="Times New Roman" w:hAnsi="Times New Roman" w:eastAsia="宋体" w:cs="Times New Roman"/>
                <w:color w:val="auto"/>
                <w:sz w:val="24"/>
                <w:szCs w:val="24"/>
                <w:highlight w:val="none"/>
                <w:lang w:val="en-US" w:eastAsia="zh-CN"/>
              </w:rPr>
              <w:t>57.6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/a）排入防渗化粪池内，定期清运至乌拉特前旗污水处理厂处理。</w:t>
            </w:r>
          </w:p>
          <w:p>
            <w:pPr>
              <w:keepNext w:val="0"/>
              <w:keepLines w:val="0"/>
              <w:pageBreakBefore w:val="0"/>
              <w:widowControl w:val="0"/>
              <w:kinsoku/>
              <w:wordWrap/>
              <w:overflowPunct/>
              <w:topLinePunct w:val="0"/>
              <w:autoSpaceDE w:val="0"/>
              <w:autoSpaceDN/>
              <w:bidi w:val="0"/>
              <w:adjustRightIn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噪声</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现有工程基础减震、厂房隔声</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val="0"/>
              <w:autoSpaceDN/>
              <w:bidi w:val="0"/>
              <w:adjustRightIn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固体废弃物</w:t>
            </w:r>
          </w:p>
          <w:bookmarkEnd w:id="1"/>
          <w:p>
            <w:pPr>
              <w:pStyle w:val="2"/>
              <w:keepNext w:val="0"/>
              <w:keepLines w:val="0"/>
              <w:pageBreakBefore w:val="0"/>
              <w:widowControl w:val="0"/>
              <w:kinsoku/>
              <w:wordWrap/>
              <w:overflowPunct/>
              <w:topLinePunct w:val="0"/>
              <w:bidi w:val="0"/>
              <w:snapToGrid/>
              <w:spacing w:after="0" w:afterLines="0" w:line="360" w:lineRule="auto"/>
              <w:ind w:left="0" w:leftChars="0"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本项目固体废物主要为锅炉</w:t>
            </w:r>
            <w:r>
              <w:rPr>
                <w:rFonts w:hint="default" w:ascii="Times New Roman" w:hAnsi="Times New Roman" w:eastAsia="宋体" w:cs="Times New Roman"/>
                <w:color w:val="auto"/>
                <w:sz w:val="24"/>
                <w:szCs w:val="24"/>
                <w:highlight w:val="none"/>
                <w:lang w:eastAsia="zh-CN" w:bidi="ar"/>
              </w:rPr>
              <w:t>炉</w:t>
            </w:r>
            <w:r>
              <w:rPr>
                <w:rFonts w:hint="default" w:ascii="Times New Roman" w:hAnsi="Times New Roman" w:eastAsia="宋体" w:cs="Times New Roman"/>
                <w:color w:val="auto"/>
                <w:sz w:val="24"/>
                <w:szCs w:val="24"/>
                <w:highlight w:val="none"/>
                <w:lang w:bidi="ar"/>
              </w:rPr>
              <w:t>渣、</w:t>
            </w:r>
            <w:r>
              <w:rPr>
                <w:rFonts w:hint="default" w:ascii="Times New Roman" w:hAnsi="Times New Roman" w:eastAsia="宋体" w:cs="Times New Roman"/>
                <w:color w:val="auto"/>
                <w:sz w:val="24"/>
                <w:szCs w:val="24"/>
                <w:highlight w:val="none"/>
                <w:lang w:eastAsia="zh-CN" w:bidi="ar"/>
              </w:rPr>
              <w:t>除尘器收集的除尘灰、</w:t>
            </w:r>
            <w:r>
              <w:rPr>
                <w:rFonts w:hint="default" w:ascii="Times New Roman" w:hAnsi="Times New Roman" w:eastAsia="宋体" w:cs="Times New Roman"/>
                <w:color w:val="auto"/>
                <w:sz w:val="24"/>
                <w:szCs w:val="24"/>
                <w:highlight w:val="none"/>
                <w:lang w:bidi="ar"/>
              </w:rPr>
              <w:t>脱硫渣、废弃离子交换树脂</w:t>
            </w:r>
            <w:r>
              <w:rPr>
                <w:rFonts w:hint="default" w:ascii="Times New Roman" w:hAnsi="Times New Roman" w:eastAsia="宋体" w:cs="Times New Roman"/>
                <w:color w:val="auto"/>
                <w:sz w:val="24"/>
                <w:szCs w:val="24"/>
                <w:highlight w:val="none"/>
                <w:lang w:val="en-US" w:eastAsia="zh-CN" w:bidi="ar"/>
              </w:rPr>
              <w:t>和生活垃圾</w:t>
            </w:r>
            <w:r>
              <w:rPr>
                <w:rFonts w:hint="default" w:ascii="Times New Roman" w:hAnsi="Times New Roman" w:eastAsia="宋体" w:cs="Times New Roman"/>
                <w:color w:val="auto"/>
                <w:sz w:val="24"/>
                <w:szCs w:val="24"/>
                <w:highlight w:val="none"/>
                <w:lang w:bidi="ar"/>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炉</w:t>
            </w:r>
            <w:r>
              <w:rPr>
                <w:rFonts w:hint="default" w:ascii="Times New Roman" w:hAnsi="Times New Roman" w:eastAsia="宋体" w:cs="Times New Roman"/>
                <w:color w:val="auto"/>
                <w:sz w:val="24"/>
                <w:szCs w:val="24"/>
                <w:highlight w:val="none"/>
              </w:rPr>
              <w:t>灰渣</w:t>
            </w:r>
          </w:p>
          <w:p>
            <w:pPr>
              <w:pStyle w:val="2"/>
              <w:keepNext w:val="0"/>
              <w:keepLines w:val="0"/>
              <w:pageBreakBefore w:val="0"/>
              <w:widowControl w:val="0"/>
              <w:tabs>
                <w:tab w:val="left" w:pos="0"/>
              </w:tabs>
              <w:kinsoku/>
              <w:wordWrap/>
              <w:overflowPunct/>
              <w:topLinePunct w:val="0"/>
              <w:bidi w:val="0"/>
              <w:snapToGrid/>
              <w:spacing w:after="0" w:afterLines="0"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根据《污染源源强核算技术指南 锅炉》</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HJ991-2018）产污系数法进行计算，公式如下</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5133975" cy="1412875"/>
                  <wp:effectExtent l="0" t="0" r="9525" b="1587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0"/>
                          <a:stretch>
                            <a:fillRect/>
                          </a:stretch>
                        </pic:blipFill>
                        <pic:spPr>
                          <a:xfrm>
                            <a:off x="0" y="0"/>
                            <a:ext cx="5133975" cy="141287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燃煤</w:t>
            </w:r>
            <w:r>
              <w:rPr>
                <w:rFonts w:hint="default" w:ascii="Times New Roman" w:hAnsi="Times New Roman" w:eastAsia="宋体" w:cs="Times New Roman"/>
                <w:color w:val="auto"/>
                <w:sz w:val="24"/>
                <w:szCs w:val="24"/>
                <w:highlight w:val="none"/>
              </w:rPr>
              <w:t>消耗总量为</w:t>
            </w:r>
            <w:r>
              <w:rPr>
                <w:rFonts w:hint="default" w:ascii="Times New Roman" w:hAnsi="Times New Roman" w:eastAsia="宋体" w:cs="Times New Roman"/>
                <w:color w:val="auto"/>
                <w:sz w:val="24"/>
                <w:szCs w:val="24"/>
                <w:highlight w:val="none"/>
                <w:lang w:val="en-US" w:eastAsia="zh-CN"/>
              </w:rPr>
              <w:t>722</w:t>
            </w:r>
            <w:r>
              <w:rPr>
                <w:rFonts w:hint="default" w:ascii="Times New Roman" w:hAnsi="Times New Roman" w:eastAsia="宋体" w:cs="Times New Roman"/>
                <w:color w:val="auto"/>
                <w:sz w:val="24"/>
                <w:szCs w:val="24"/>
                <w:highlight w:val="none"/>
              </w:rPr>
              <w:t>t/a；收到基灰分为</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.37%；根据</w:t>
            </w:r>
            <w:r>
              <w:rPr>
                <w:rFonts w:hint="default" w:ascii="Times New Roman" w:hAnsi="Times New Roman" w:eastAsia="宋体" w:cs="Times New Roman"/>
                <w:color w:val="auto"/>
                <w:kern w:val="0"/>
                <w:sz w:val="24"/>
                <w:szCs w:val="24"/>
                <w:highlight w:val="none"/>
              </w:rPr>
              <w:t>《污染源源强核算技术指南 锅炉》</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HJ991-2018）表B.1锅炉机械不完全燃烧热损失的一般取值5~15%，本次评价取1</w:t>
            </w:r>
            <w:r>
              <w:rPr>
                <w:rFonts w:hint="default"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燃煤</w:t>
            </w:r>
            <w:r>
              <w:rPr>
                <w:rFonts w:hint="default" w:ascii="Times New Roman" w:hAnsi="Times New Roman" w:eastAsia="宋体" w:cs="Times New Roman"/>
                <w:color w:val="auto"/>
                <w:sz w:val="24"/>
                <w:szCs w:val="24"/>
                <w:highlight w:val="none"/>
              </w:rPr>
              <w:t>收到基低位发热量为6110kcal/kg</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25.55</w:t>
            </w:r>
            <w:r>
              <w:rPr>
                <w:rFonts w:hint="default" w:ascii="Times New Roman" w:hAnsi="Times New Roman" w:eastAsia="宋体" w:cs="Times New Roman"/>
                <w:color w:val="auto"/>
                <w:sz w:val="24"/>
                <w:szCs w:val="24"/>
                <w:highlight w:val="none"/>
              </w:rPr>
              <w:t>MJ/kg</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则E</w:t>
            </w:r>
            <w:r>
              <w:rPr>
                <w:rFonts w:hint="default" w:ascii="Times New Roman" w:hAnsi="Times New Roman" w:eastAsia="宋体" w:cs="Times New Roman"/>
                <w:color w:val="auto"/>
                <w:sz w:val="24"/>
                <w:szCs w:val="24"/>
                <w:highlight w:val="none"/>
                <w:vertAlign w:val="subscript"/>
              </w:rPr>
              <w:t>hz</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722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.37/100+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25.55</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100×33870）]</w:t>
            </w:r>
          </w:p>
          <w:p>
            <w:pPr>
              <w:keepNext w:val="0"/>
              <w:keepLines w:val="0"/>
              <w:pageBreakBefore w:val="0"/>
              <w:widowControl w:val="0"/>
              <w:kinsoku/>
              <w:wordWrap/>
              <w:overflowPunct/>
              <w:topLinePunct w:val="0"/>
              <w:bidi w:val="0"/>
              <w:snapToGrid/>
              <w:spacing w:line="360" w:lineRule="auto"/>
              <w:ind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120.5</w:t>
            </w:r>
            <w:r>
              <w:rPr>
                <w:rFonts w:hint="default" w:ascii="Times New Roman" w:hAnsi="Times New Roman" w:eastAsia="宋体" w:cs="Times New Roman"/>
                <w:color w:val="auto"/>
                <w:sz w:val="24"/>
                <w:szCs w:val="24"/>
                <w:highlight w:val="none"/>
              </w:rPr>
              <w:t>t/a</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燃煤热水锅炉</w:t>
            </w:r>
            <w:r>
              <w:rPr>
                <w:rFonts w:hint="default" w:ascii="Times New Roman" w:hAnsi="Times New Roman" w:eastAsia="宋体" w:cs="Times New Roman"/>
                <w:color w:val="auto"/>
                <w:sz w:val="24"/>
                <w:szCs w:val="24"/>
                <w:highlight w:val="none"/>
              </w:rPr>
              <w:t>产生的炉渣</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暂存于全封闭灰渣间内</w:t>
            </w:r>
            <w:r>
              <w:rPr>
                <w:rFonts w:hint="default" w:ascii="Times New Roman" w:hAnsi="Times New Roman" w:eastAsia="宋体" w:cs="Times New Roman"/>
                <w:color w:val="auto"/>
                <w:sz w:val="24"/>
                <w:szCs w:val="24"/>
                <w:highlight w:val="none"/>
                <w:lang w:eastAsia="zh-CN"/>
              </w:rPr>
              <w:t>。作为建筑材料定期给建材公司进行综合利用；</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）除尘灰</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多管旋风除尘器+布袋除尘器收</w:t>
            </w:r>
            <w:r>
              <w:rPr>
                <w:rFonts w:hint="default" w:ascii="Times New Roman" w:hAnsi="Times New Roman" w:eastAsia="宋体" w:cs="Times New Roman"/>
                <w:color w:val="auto"/>
                <w:sz w:val="24"/>
                <w:szCs w:val="24"/>
                <w:highlight w:val="none"/>
              </w:rPr>
              <w:t>集的除尘灰，收集的颗粒物量为</w:t>
            </w:r>
            <w:r>
              <w:rPr>
                <w:rFonts w:hint="default" w:ascii="Times New Roman" w:hAnsi="Times New Roman" w:eastAsia="宋体" w:cs="Times New Roman"/>
                <w:color w:val="auto"/>
                <w:sz w:val="24"/>
                <w:szCs w:val="24"/>
                <w:highlight w:val="none"/>
                <w:lang w:val="en-US" w:eastAsia="zh-CN"/>
              </w:rPr>
              <w:t>4.73t/a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rPr>
              <w:t>暂存于全封闭灰渣间内</w:t>
            </w:r>
            <w:r>
              <w:rPr>
                <w:rFonts w:hint="default" w:ascii="Times New Roman" w:hAnsi="Times New Roman" w:eastAsia="宋体" w:cs="Times New Roman"/>
                <w:bCs/>
                <w:color w:val="auto"/>
                <w:sz w:val="24"/>
                <w:szCs w:val="24"/>
                <w:highlight w:val="none"/>
                <w:lang w:eastAsia="zh-CN"/>
              </w:rPr>
              <w:t>。作为建筑材料定期给建材公司进行综合利用</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bidi="ar"/>
              </w:rPr>
              <w:t>3</w:t>
            </w:r>
            <w:r>
              <w:rPr>
                <w:rFonts w:hint="default" w:ascii="Times New Roman" w:hAnsi="Times New Roman" w:eastAsia="宋体" w:cs="Times New Roman"/>
                <w:b w:val="0"/>
                <w:bCs w:val="0"/>
                <w:color w:val="auto"/>
                <w:sz w:val="24"/>
                <w:szCs w:val="24"/>
                <w:highlight w:val="none"/>
                <w:lang w:bidi="ar"/>
              </w:rPr>
              <w:t>）脱硫废渣</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相对分子量64）和Na</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相对分子量1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6）的摩尔比例为 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1，本项目SO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去除量为</w:t>
            </w:r>
            <w:r>
              <w:rPr>
                <w:rFonts w:hint="default" w:ascii="Times New Roman" w:hAnsi="Times New Roman" w:eastAsia="宋体" w:cs="Times New Roman"/>
                <w:color w:val="auto"/>
                <w:sz w:val="24"/>
                <w:szCs w:val="24"/>
                <w:highlight w:val="none"/>
                <w:lang w:val="en-US" w:eastAsia="zh-CN"/>
              </w:rPr>
              <w:t>3.23</w:t>
            </w:r>
            <w:r>
              <w:rPr>
                <w:rFonts w:hint="default" w:ascii="Times New Roman" w:hAnsi="Times New Roman" w:eastAsia="宋体" w:cs="Times New Roman"/>
                <w:color w:val="auto"/>
                <w:sz w:val="24"/>
                <w:szCs w:val="24"/>
                <w:highlight w:val="none"/>
              </w:rPr>
              <w:t>t/a，通过核算产生脱硫渣</w:t>
            </w:r>
            <w:r>
              <w:rPr>
                <w:rFonts w:hint="default" w:ascii="Times New Roman" w:hAnsi="Times New Roman" w:eastAsia="宋体" w:cs="Times New Roman"/>
                <w:color w:val="auto"/>
                <w:sz w:val="24"/>
                <w:szCs w:val="24"/>
                <w:highlight w:val="none"/>
                <w:lang w:val="en-US" w:eastAsia="zh-CN"/>
              </w:rPr>
              <w:t>6.36</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bidi="ar"/>
              </w:rPr>
              <w:t>干量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bidi="ar"/>
              </w:rPr>
              <w:t>脱硫废渣经干化后含水率约30%为</w:t>
            </w:r>
            <w:r>
              <w:rPr>
                <w:rFonts w:hint="default" w:ascii="Times New Roman" w:hAnsi="Times New Roman" w:eastAsia="宋体" w:cs="Times New Roman"/>
                <w:color w:val="auto"/>
                <w:sz w:val="24"/>
                <w:szCs w:val="24"/>
                <w:highlight w:val="none"/>
                <w:lang w:val="en-US" w:eastAsia="zh-CN" w:bidi="ar"/>
              </w:rPr>
              <w:t>9.08</w:t>
            </w:r>
            <w:r>
              <w:rPr>
                <w:rFonts w:hint="default" w:ascii="Times New Roman" w:hAnsi="Times New Roman" w:eastAsia="宋体" w:cs="Times New Roman"/>
                <w:color w:val="auto"/>
                <w:sz w:val="24"/>
                <w:szCs w:val="24"/>
                <w:highlight w:val="none"/>
                <w:lang w:bidi="ar"/>
              </w:rPr>
              <w:t>t/a。</w:t>
            </w:r>
            <w:r>
              <w:rPr>
                <w:rFonts w:hint="default" w:ascii="Times New Roman" w:hAnsi="Times New Roman" w:eastAsia="宋体" w:cs="Times New Roman"/>
                <w:color w:val="auto"/>
                <w:sz w:val="24"/>
                <w:szCs w:val="24"/>
                <w:highlight w:val="none"/>
                <w:lang w:val="en-US" w:eastAsia="zh-CN"/>
              </w:rPr>
              <w:t>钠碱法脱硫塔</w:t>
            </w:r>
            <w:r>
              <w:rPr>
                <w:rFonts w:hint="default" w:ascii="Times New Roman" w:hAnsi="Times New Roman" w:eastAsia="宋体" w:cs="Times New Roman"/>
                <w:color w:val="auto"/>
                <w:sz w:val="24"/>
                <w:szCs w:val="24"/>
                <w:highlight w:val="none"/>
                <w:lang w:eastAsia="zh-CN"/>
              </w:rPr>
              <w:t>底部设置</w:t>
            </w:r>
            <w:r>
              <w:rPr>
                <w:rFonts w:hint="default" w:ascii="Times New Roman" w:hAnsi="Times New Roman" w:eastAsia="宋体" w:cs="Times New Roman"/>
                <w:color w:val="auto"/>
                <w:sz w:val="24"/>
                <w:szCs w:val="24"/>
                <w:highlight w:val="none"/>
                <w:lang w:val="en-US" w:eastAsia="zh-CN"/>
              </w:rPr>
              <w:t>1座三级沉淀池，</w:t>
            </w:r>
            <w:r>
              <w:rPr>
                <w:rFonts w:hint="default" w:ascii="Times New Roman" w:hAnsi="Times New Roman" w:eastAsia="宋体" w:cs="Times New Roman"/>
                <w:color w:val="auto"/>
                <w:sz w:val="24"/>
                <w:szCs w:val="24"/>
                <w:highlight w:val="none"/>
                <w:lang w:bidi="ar"/>
              </w:rPr>
              <w:t>沉淀池底部</w:t>
            </w:r>
            <w:r>
              <w:rPr>
                <w:rFonts w:hint="default" w:ascii="Times New Roman" w:hAnsi="Times New Roman" w:eastAsia="宋体" w:cs="Times New Roman"/>
                <w:color w:val="auto"/>
                <w:sz w:val="24"/>
                <w:szCs w:val="24"/>
                <w:highlight w:val="none"/>
                <w:lang w:eastAsia="zh-CN" w:bidi="ar"/>
              </w:rPr>
              <w:t>脱硫渣</w:t>
            </w:r>
            <w:r>
              <w:rPr>
                <w:rFonts w:hint="default" w:ascii="Times New Roman" w:hAnsi="Times New Roman" w:eastAsia="宋体" w:cs="Times New Roman"/>
                <w:color w:val="auto"/>
                <w:sz w:val="24"/>
                <w:szCs w:val="24"/>
                <w:highlight w:val="none"/>
                <w:lang w:bidi="ar"/>
              </w:rPr>
              <w:t>定期抽入</w:t>
            </w:r>
            <w:r>
              <w:rPr>
                <w:rFonts w:hint="default" w:ascii="Times New Roman" w:hAnsi="Times New Roman" w:eastAsia="宋体" w:cs="Times New Roman"/>
                <w:color w:val="auto"/>
                <w:sz w:val="24"/>
                <w:szCs w:val="24"/>
                <w:highlight w:val="none"/>
                <w:lang w:eastAsia="zh-CN" w:bidi="ar"/>
              </w:rPr>
              <w:t>脱硫渣干化池（</w:t>
            </w:r>
            <w:r>
              <w:rPr>
                <w:rFonts w:hint="default" w:ascii="Times New Roman" w:hAnsi="Times New Roman" w:eastAsia="宋体" w:cs="Times New Roman"/>
                <w:color w:val="auto"/>
                <w:sz w:val="24"/>
                <w:szCs w:val="24"/>
                <w:highlight w:val="none"/>
                <w:lang w:bidi="ar"/>
              </w:rPr>
              <w:t>容积2m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），可满足干化要求，</w:t>
            </w:r>
            <w:r>
              <w:rPr>
                <w:rFonts w:hint="default" w:ascii="Times New Roman" w:hAnsi="Times New Roman" w:eastAsia="宋体" w:cs="Times New Roman"/>
                <w:color w:val="auto"/>
                <w:sz w:val="24"/>
                <w:szCs w:val="24"/>
                <w:highlight w:val="none"/>
                <w:lang w:eastAsia="zh-CN" w:bidi="ar"/>
              </w:rPr>
              <w:t>脱硫渣干化池</w:t>
            </w:r>
            <w:r>
              <w:rPr>
                <w:rFonts w:hint="default" w:ascii="Times New Roman" w:hAnsi="Times New Roman" w:eastAsia="宋体" w:cs="Times New Roman"/>
                <w:color w:val="auto"/>
                <w:sz w:val="24"/>
                <w:szCs w:val="24"/>
                <w:highlight w:val="none"/>
                <w:lang w:bidi="ar"/>
              </w:rPr>
              <w:t>内</w:t>
            </w:r>
            <w:r>
              <w:rPr>
                <w:rFonts w:hint="default" w:ascii="Times New Roman" w:hAnsi="Times New Roman" w:eastAsia="宋体" w:cs="Times New Roman"/>
                <w:color w:val="auto"/>
                <w:sz w:val="24"/>
                <w:szCs w:val="24"/>
                <w:highlight w:val="none"/>
                <w:lang w:eastAsia="zh-CN" w:bidi="ar"/>
              </w:rPr>
              <w:t>脱硫渣</w:t>
            </w:r>
            <w:r>
              <w:rPr>
                <w:rFonts w:hint="default" w:ascii="Times New Roman" w:hAnsi="Times New Roman" w:eastAsia="宋体" w:cs="Times New Roman"/>
                <w:color w:val="auto"/>
                <w:sz w:val="24"/>
                <w:szCs w:val="24"/>
                <w:highlight w:val="none"/>
                <w:lang w:bidi="ar"/>
              </w:rPr>
              <w:t>定期清运至建材公司综合利用</w:t>
            </w:r>
            <w:r>
              <w:rPr>
                <w:rFonts w:hint="default" w:ascii="Times New Roman" w:hAnsi="Times New Roman" w:eastAsia="宋体" w:cs="Times New Roman"/>
                <w:color w:val="auto"/>
                <w:sz w:val="24"/>
                <w:szCs w:val="24"/>
                <w:highlight w:val="none"/>
                <w:lang w:eastAsia="zh-CN" w:bidi="ar"/>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）废饱和树脂</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本项目设置</w:t>
            </w:r>
            <w:r>
              <w:rPr>
                <w:rFonts w:hint="default" w:ascii="Times New Roman" w:hAnsi="Times New Roman" w:eastAsia="宋体" w:cs="Times New Roman"/>
                <w:color w:val="auto"/>
                <w:sz w:val="24"/>
                <w:szCs w:val="24"/>
                <w:highlight w:val="none"/>
              </w:rPr>
              <w:t>1台10t/h</w:t>
            </w:r>
            <w:r>
              <w:rPr>
                <w:rFonts w:hint="default" w:ascii="Times New Roman" w:hAnsi="Times New Roman" w:eastAsia="宋体" w:cs="Times New Roman"/>
                <w:color w:val="auto"/>
                <w:sz w:val="24"/>
                <w:szCs w:val="24"/>
                <w:highlight w:val="none"/>
                <w:lang w:eastAsia="zh-CN"/>
              </w:rPr>
              <w:t>软水制备装置，交换树脂</w:t>
            </w:r>
            <w:r>
              <w:rPr>
                <w:rFonts w:hint="default" w:ascii="Times New Roman" w:hAnsi="Times New Roman" w:eastAsia="宋体" w:cs="Times New Roman"/>
                <w:color w:val="auto"/>
                <w:sz w:val="24"/>
                <w:szCs w:val="24"/>
                <w:highlight w:val="none"/>
              </w:rPr>
              <w:t>充装量为0.6t，2年</w:t>
            </w:r>
            <w:r>
              <w:rPr>
                <w:rFonts w:hint="default" w:ascii="Times New Roman" w:hAnsi="Times New Roman" w:eastAsia="宋体" w:cs="Times New Roman"/>
                <w:color w:val="auto"/>
                <w:sz w:val="24"/>
                <w:szCs w:val="24"/>
                <w:highlight w:val="none"/>
                <w:lang w:eastAsia="zh-CN"/>
              </w:rPr>
              <w:t>更换一次，则</w:t>
            </w:r>
            <w:r>
              <w:rPr>
                <w:rFonts w:hint="default" w:ascii="Times New Roman" w:hAnsi="Times New Roman" w:eastAsia="宋体" w:cs="Times New Roman"/>
                <w:color w:val="auto"/>
                <w:sz w:val="24"/>
                <w:szCs w:val="24"/>
                <w:highlight w:val="none"/>
              </w:rPr>
              <w:t>废饱和树脂</w:t>
            </w:r>
            <w:r>
              <w:rPr>
                <w:rFonts w:hint="default" w:ascii="Times New Roman" w:hAnsi="Times New Roman" w:eastAsia="宋体" w:cs="Times New Roman"/>
                <w:color w:val="auto"/>
                <w:sz w:val="24"/>
                <w:szCs w:val="24"/>
                <w:highlight w:val="none"/>
                <w:lang w:eastAsia="zh-CN"/>
              </w:rPr>
              <w:t>产生量为</w:t>
            </w:r>
            <w:r>
              <w:rPr>
                <w:rFonts w:hint="default" w:ascii="Times New Roman" w:hAnsi="Times New Roman" w:eastAsia="宋体" w:cs="Times New Roman"/>
                <w:color w:val="auto"/>
                <w:sz w:val="24"/>
                <w:szCs w:val="24"/>
                <w:highlight w:val="none"/>
                <w:lang w:val="en-US" w:eastAsia="zh-CN"/>
              </w:rPr>
              <w:t>0.3t/a，</w:t>
            </w:r>
            <w:r>
              <w:rPr>
                <w:rFonts w:hint="default" w:ascii="Times New Roman" w:hAnsi="Times New Roman" w:eastAsia="宋体" w:cs="Times New Roman"/>
                <w:color w:val="auto"/>
                <w:sz w:val="24"/>
                <w:szCs w:val="24"/>
                <w:highlight w:val="none"/>
              </w:rPr>
              <w:t>属于一般工业固体废物，由销售厂家直接回收，不在厂区内储存</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32"/>
              </w:rPr>
            </w:pPr>
            <w:r>
              <w:rPr>
                <w:rFonts w:hint="default" w:ascii="Times New Roman" w:hAnsi="Times New Roman" w:eastAsia="宋体" w:cs="Times New Roman"/>
                <w:b w:val="0"/>
                <w:bCs w:val="0"/>
                <w:color w:val="auto"/>
                <w:sz w:val="24"/>
                <w:szCs w:val="32"/>
                <w:lang w:eastAsia="zh-CN"/>
              </w:rPr>
              <w:t>（</w:t>
            </w:r>
            <w:r>
              <w:rPr>
                <w:rFonts w:hint="default" w:ascii="Times New Roman" w:hAnsi="Times New Roman" w:eastAsia="宋体" w:cs="Times New Roman"/>
                <w:b w:val="0"/>
                <w:bCs w:val="0"/>
                <w:color w:val="auto"/>
                <w:sz w:val="24"/>
                <w:szCs w:val="32"/>
                <w:lang w:val="en-US" w:eastAsia="zh-CN"/>
              </w:rPr>
              <w:t>5</w:t>
            </w:r>
            <w:r>
              <w:rPr>
                <w:rFonts w:hint="default" w:ascii="Times New Roman" w:hAnsi="Times New Roman" w:eastAsia="宋体" w:cs="Times New Roman"/>
                <w:b w:val="0"/>
                <w:bCs w:val="0"/>
                <w:color w:val="auto"/>
                <w:sz w:val="24"/>
                <w:szCs w:val="32"/>
              </w:rPr>
              <w:t>）生活垃圾</w:t>
            </w:r>
          </w:p>
          <w:p>
            <w:pPr>
              <w:keepNext w:val="0"/>
              <w:keepLines w:val="0"/>
              <w:pageBreakBefore w:val="0"/>
              <w:widowControl w:val="0"/>
              <w:kinsoku/>
              <w:wordWrap/>
              <w:overflowPunct/>
              <w:topLinePunct w:val="0"/>
              <w:autoSpaceDN/>
              <w:bidi w:val="0"/>
              <w:adjustRightIn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32"/>
              </w:rPr>
              <w:t>本项目工作人员</w:t>
            </w:r>
            <w:r>
              <w:rPr>
                <w:rFonts w:hint="default" w:ascii="Times New Roman" w:hAnsi="Times New Roman" w:eastAsia="宋体" w:cs="Times New Roman"/>
                <w:color w:val="auto"/>
                <w:sz w:val="24"/>
                <w:szCs w:val="32"/>
                <w:lang w:val="en-US" w:eastAsia="zh-CN"/>
              </w:rPr>
              <w:t>5</w:t>
            </w:r>
            <w:r>
              <w:rPr>
                <w:rFonts w:hint="default" w:ascii="Times New Roman" w:hAnsi="Times New Roman" w:eastAsia="宋体" w:cs="Times New Roman"/>
                <w:color w:val="auto"/>
                <w:sz w:val="24"/>
                <w:szCs w:val="32"/>
              </w:rPr>
              <w:t>人，产生量按0.</w:t>
            </w:r>
            <w:r>
              <w:rPr>
                <w:rFonts w:hint="default" w:ascii="Times New Roman" w:hAnsi="Times New Roman" w:eastAsia="宋体" w:cs="Times New Roman"/>
                <w:color w:val="auto"/>
                <w:sz w:val="24"/>
                <w:szCs w:val="32"/>
                <w:lang w:val="en-US" w:eastAsia="zh-CN"/>
              </w:rPr>
              <w:t>5</w:t>
            </w:r>
            <w:r>
              <w:rPr>
                <w:rFonts w:hint="default" w:ascii="Times New Roman" w:hAnsi="Times New Roman" w:eastAsia="宋体" w:cs="Times New Roman"/>
                <w:color w:val="auto"/>
                <w:sz w:val="24"/>
                <w:szCs w:val="32"/>
              </w:rPr>
              <w:t>kg/人·d计，全年工作时间为</w:t>
            </w:r>
            <w:r>
              <w:rPr>
                <w:rFonts w:hint="default" w:ascii="Times New Roman" w:hAnsi="Times New Roman" w:eastAsia="宋体" w:cs="Times New Roman"/>
                <w:color w:val="auto"/>
                <w:sz w:val="24"/>
                <w:szCs w:val="32"/>
                <w:lang w:val="en-US" w:eastAsia="zh-CN"/>
              </w:rPr>
              <w:t>180</w:t>
            </w:r>
            <w:r>
              <w:rPr>
                <w:rFonts w:hint="default" w:ascii="Times New Roman" w:hAnsi="Times New Roman" w:eastAsia="宋体" w:cs="Times New Roman"/>
                <w:color w:val="auto"/>
                <w:sz w:val="24"/>
                <w:szCs w:val="32"/>
              </w:rPr>
              <w:t>天</w:t>
            </w:r>
            <w:r>
              <w:rPr>
                <w:rFonts w:hint="default" w:ascii="Times New Roman" w:hAnsi="Times New Roman" w:eastAsia="宋体" w:cs="Times New Roman"/>
                <w:color w:val="auto"/>
                <w:sz w:val="24"/>
                <w:szCs w:val="32"/>
                <w:lang w:eastAsia="zh-CN"/>
              </w:rPr>
              <w:t>，产生量为</w:t>
            </w:r>
            <w:r>
              <w:rPr>
                <w:rFonts w:hint="default" w:ascii="Times New Roman" w:hAnsi="Times New Roman" w:eastAsia="宋体" w:cs="Times New Roman"/>
                <w:color w:val="auto"/>
                <w:sz w:val="24"/>
                <w:szCs w:val="32"/>
                <w:lang w:val="en-US" w:eastAsia="zh-CN"/>
              </w:rPr>
              <w:t>2.5kg/d（0.45t</w:t>
            </w:r>
            <w:r>
              <w:rPr>
                <w:rFonts w:hint="default" w:ascii="Times New Roman" w:hAnsi="Times New Roman" w:eastAsia="宋体" w:cs="Times New Roman"/>
                <w:color w:val="auto"/>
                <w:sz w:val="24"/>
                <w:szCs w:val="32"/>
              </w:rPr>
              <w:t>/a</w:t>
            </w:r>
            <w:r>
              <w:rPr>
                <w:rFonts w:hint="default" w:ascii="Times New Roman" w:hAnsi="Times New Roman" w:eastAsia="宋体" w:cs="Times New Roman"/>
                <w:color w:val="auto"/>
                <w:sz w:val="24"/>
                <w:szCs w:val="32"/>
                <w:lang w:val="en-US" w:eastAsia="zh-CN"/>
              </w:rPr>
              <w:t>）</w:t>
            </w:r>
            <w:r>
              <w:rPr>
                <w:rFonts w:hint="default" w:ascii="Times New Roman" w:hAnsi="Times New Roman" w:eastAsia="宋体" w:cs="Times New Roman"/>
                <w:color w:val="auto"/>
                <w:sz w:val="24"/>
                <w:szCs w:val="32"/>
              </w:rPr>
              <w:t>，经垃圾桶收集后，定期运至环卫部门指定地点</w:t>
            </w:r>
            <w:r>
              <w:rPr>
                <w:rFonts w:hint="default" w:ascii="Times New Roman" w:hAnsi="Times New Roman" w:eastAsia="宋体" w:cs="Times New Roman"/>
                <w:color w:val="auto"/>
                <w:sz w:val="24"/>
                <w:szCs w:val="24"/>
                <w:highlight w:val="none"/>
                <w:lang w:eastAsia="zh-CN"/>
              </w:rPr>
              <w:t>。</w:t>
            </w:r>
          </w:p>
        </w:tc>
      </w:tr>
    </w:tbl>
    <w:p>
      <w:pPr>
        <w:jc w:val="center"/>
        <w:rPr>
          <w:rFonts w:hint="default" w:ascii="Times New Roman" w:hAnsi="Times New Roman" w:eastAsia="宋体" w:cs="Times New Roman"/>
          <w:b/>
          <w:bCs/>
          <w:color w:val="auto"/>
          <w:sz w:val="28"/>
          <w:szCs w:val="28"/>
          <w:highlight w:val="none"/>
        </w:rPr>
        <w:sectPr>
          <w:pgSz w:w="11906" w:h="16838"/>
          <w:pgMar w:top="1440" w:right="1463" w:bottom="1440" w:left="1463" w:header="851" w:footer="992" w:gutter="0"/>
          <w:cols w:space="425" w:num="1"/>
          <w:docGrid w:type="lines" w:linePitch="312" w:charSpace="0"/>
        </w:sectPr>
      </w:pPr>
    </w:p>
    <w:p>
      <w:pPr>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三、区域环境质量现状、环境保护目标及评价标准</w:t>
      </w:r>
    </w:p>
    <w:tbl>
      <w:tblPr>
        <w:tblStyle w:val="23"/>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区域环境质量现状</w:t>
            </w:r>
          </w:p>
        </w:tc>
        <w:tc>
          <w:tcPr>
            <w:tcW w:w="8399" w:type="dxa"/>
            <w:shd w:val="clear" w:color="auto" w:fill="auto"/>
            <w:vAlign w:val="center"/>
          </w:tcPr>
          <w:p>
            <w:pPr>
              <w:pStyle w:val="1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1、环境空气质量现状</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大气环境》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HJ2.2-2018）中6.4.1.1中的内容“城市环境空气质量达标评价指标为</w:t>
            </w:r>
            <w:r>
              <w:rPr>
                <w:rFonts w:hint="default" w:ascii="Times New Roman" w:hAnsi="Times New Roman" w:eastAsia="宋体" w:cs="Times New Roman"/>
                <w:color w:val="auto"/>
                <w:sz w:val="24"/>
                <w:szCs w:val="32"/>
              </w:rPr>
              <w:t>SO</w:t>
            </w:r>
            <w:r>
              <w:rPr>
                <w:rFonts w:hint="default" w:ascii="Times New Roman" w:hAnsi="Times New Roman" w:eastAsia="宋体" w:cs="Times New Roman"/>
                <w:color w:val="auto"/>
                <w:sz w:val="24"/>
                <w:szCs w:val="32"/>
                <w:vertAlign w:val="subscript"/>
              </w:rPr>
              <w:t>2</w:t>
            </w:r>
            <w:r>
              <w:rPr>
                <w:rFonts w:hint="default" w:ascii="Times New Roman" w:hAnsi="Times New Roman" w:eastAsia="宋体" w:cs="Times New Roman"/>
                <w:color w:val="auto"/>
                <w:sz w:val="24"/>
                <w:szCs w:val="32"/>
              </w:rPr>
              <w:t>、NO</w:t>
            </w:r>
            <w:r>
              <w:rPr>
                <w:rFonts w:hint="default" w:ascii="Times New Roman" w:hAnsi="Times New Roman" w:eastAsia="宋体" w:cs="Times New Roman"/>
                <w:color w:val="auto"/>
                <w:sz w:val="24"/>
                <w:szCs w:val="32"/>
                <w:vertAlign w:val="subscript"/>
              </w:rPr>
              <w:t>2</w:t>
            </w:r>
            <w:r>
              <w:rPr>
                <w:rFonts w:hint="default" w:ascii="Times New Roman" w:hAnsi="Times New Roman" w:eastAsia="宋体" w:cs="Times New Roman"/>
                <w:color w:val="auto"/>
                <w:sz w:val="24"/>
                <w:szCs w:val="32"/>
              </w:rPr>
              <w:t>、PM</w:t>
            </w:r>
            <w:r>
              <w:rPr>
                <w:rFonts w:hint="default" w:ascii="Times New Roman" w:hAnsi="Times New Roman" w:eastAsia="宋体" w:cs="Times New Roman"/>
                <w:color w:val="auto"/>
                <w:sz w:val="24"/>
                <w:szCs w:val="32"/>
                <w:vertAlign w:val="subscript"/>
              </w:rPr>
              <w:t>10</w:t>
            </w:r>
            <w:r>
              <w:rPr>
                <w:rFonts w:hint="default" w:ascii="Times New Roman" w:hAnsi="Times New Roman" w:eastAsia="宋体" w:cs="Times New Roman"/>
                <w:color w:val="auto"/>
                <w:sz w:val="24"/>
                <w:szCs w:val="32"/>
              </w:rPr>
              <w:t>、PM</w:t>
            </w:r>
            <w:r>
              <w:rPr>
                <w:rFonts w:hint="default" w:ascii="Times New Roman" w:hAnsi="Times New Roman" w:eastAsia="宋体" w:cs="Times New Roman"/>
                <w:color w:val="auto"/>
                <w:sz w:val="24"/>
                <w:szCs w:val="32"/>
                <w:vertAlign w:val="subscript"/>
              </w:rPr>
              <w:t>2.5</w:t>
            </w:r>
            <w:r>
              <w:rPr>
                <w:rFonts w:hint="default" w:ascii="Times New Roman" w:hAnsi="Times New Roman" w:eastAsia="宋体" w:cs="Times New Roman"/>
                <w:color w:val="auto"/>
                <w:sz w:val="24"/>
                <w:szCs w:val="32"/>
              </w:rPr>
              <w:t>、CO和O</w:t>
            </w:r>
            <w:r>
              <w:rPr>
                <w:rFonts w:hint="default" w:ascii="Times New Roman" w:hAnsi="Times New Roman" w:eastAsia="宋体" w:cs="Times New Roman"/>
                <w:color w:val="auto"/>
                <w:sz w:val="24"/>
                <w:szCs w:val="32"/>
                <w:vertAlign w:val="subscript"/>
              </w:rPr>
              <w:t>3</w:t>
            </w:r>
            <w:r>
              <w:rPr>
                <w:rFonts w:hint="default" w:ascii="Times New Roman" w:hAnsi="Times New Roman" w:eastAsia="宋体" w:cs="Times New Roman"/>
                <w:color w:val="auto"/>
                <w:sz w:val="24"/>
                <w:szCs w:val="24"/>
              </w:rPr>
              <w:t>，六项污染物全部达标即为城市环境空气质量达标”。</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本项目环境质量现状数据来源于《巴彦淖尔市环境质量状况公报（2021年）》中的内容，内蒙古巴彦淖尔市乌拉特前旗2021年六项污染物环境质量数据见下表。</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ottom"/>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表3-1   大气环境质量现状与评价结果一览表</w:t>
            </w:r>
          </w:p>
          <w:tbl>
            <w:tblPr>
              <w:tblStyle w:val="22"/>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6"/>
              <w:gridCol w:w="1644"/>
              <w:gridCol w:w="1079"/>
              <w:gridCol w:w="1237"/>
              <w:gridCol w:w="1098"/>
              <w:gridCol w:w="13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819" w:type="dxa"/>
                  <w:tcBorders>
                    <w:top w:val="single" w:color="auto" w:sz="4" w:space="0"/>
                    <w:left w:val="single" w:color="auto" w:sz="0"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年评价指标</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现状浓度</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ug/m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标准值</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ug/m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占标率%</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细颗粒物</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43</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可吸入颗粒物</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59</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84</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二氧化硫</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二氧化氮</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6</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一氧化碳</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日平均浓度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臭氧</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8小时平均浓度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40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8</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bl>
          <w:p>
            <w:pPr>
              <w:adjustRightInd w:val="0"/>
              <w:snapToGrid w:val="0"/>
              <w:spacing w:line="360" w:lineRule="auto"/>
              <w:ind w:firstLine="480" w:firstLineChars="200"/>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rPr>
              <w:t>从上表可以看出，巴彦淖尔市乌拉特前旗202</w:t>
            </w:r>
            <w:r>
              <w:rPr>
                <w:rFonts w:hint="default" w:ascii="Times New Roman" w:hAnsi="Times New Roman" w:eastAsia="宋体" w:cs="Times New Roman"/>
                <w:color w:val="auto"/>
                <w:sz w:val="24"/>
                <w:szCs w:val="32"/>
                <w:lang w:val="en-US" w:eastAsia="zh-CN"/>
              </w:rPr>
              <w:t>1</w:t>
            </w:r>
            <w:r>
              <w:rPr>
                <w:rFonts w:hint="default" w:ascii="Times New Roman" w:hAnsi="Times New Roman" w:eastAsia="宋体" w:cs="Times New Roman"/>
                <w:color w:val="auto"/>
                <w:sz w:val="24"/>
                <w:szCs w:val="32"/>
              </w:rPr>
              <w:t>年大气环境中6项污染物中SO</w:t>
            </w:r>
            <w:r>
              <w:rPr>
                <w:rFonts w:hint="default" w:ascii="Times New Roman" w:hAnsi="Times New Roman" w:eastAsia="宋体" w:cs="Times New Roman"/>
                <w:color w:val="auto"/>
                <w:sz w:val="24"/>
                <w:szCs w:val="32"/>
                <w:vertAlign w:val="subscript"/>
              </w:rPr>
              <w:t>2</w:t>
            </w:r>
            <w:r>
              <w:rPr>
                <w:rFonts w:hint="default" w:ascii="Times New Roman" w:hAnsi="Times New Roman" w:eastAsia="宋体" w:cs="Times New Roman"/>
                <w:color w:val="auto"/>
                <w:sz w:val="24"/>
                <w:szCs w:val="32"/>
              </w:rPr>
              <w:t>、NO</w:t>
            </w:r>
            <w:r>
              <w:rPr>
                <w:rFonts w:hint="default" w:ascii="Times New Roman" w:hAnsi="Times New Roman" w:eastAsia="宋体" w:cs="Times New Roman"/>
                <w:color w:val="auto"/>
                <w:sz w:val="24"/>
                <w:szCs w:val="32"/>
                <w:vertAlign w:val="subscript"/>
              </w:rPr>
              <w:t>2</w:t>
            </w:r>
            <w:r>
              <w:rPr>
                <w:rFonts w:hint="default" w:ascii="Times New Roman" w:hAnsi="Times New Roman" w:eastAsia="宋体" w:cs="Times New Roman"/>
                <w:color w:val="auto"/>
                <w:sz w:val="24"/>
                <w:szCs w:val="32"/>
              </w:rPr>
              <w:t>、PM</w:t>
            </w:r>
            <w:r>
              <w:rPr>
                <w:rFonts w:hint="default" w:ascii="Times New Roman" w:hAnsi="Times New Roman" w:eastAsia="宋体" w:cs="Times New Roman"/>
                <w:color w:val="auto"/>
                <w:sz w:val="24"/>
                <w:szCs w:val="32"/>
                <w:vertAlign w:val="subscript"/>
              </w:rPr>
              <w:t>10</w:t>
            </w:r>
            <w:r>
              <w:rPr>
                <w:rFonts w:hint="default" w:ascii="Times New Roman" w:hAnsi="Times New Roman" w:eastAsia="宋体" w:cs="Times New Roman"/>
                <w:color w:val="auto"/>
                <w:sz w:val="24"/>
                <w:szCs w:val="32"/>
              </w:rPr>
              <w:t>、PM</w:t>
            </w:r>
            <w:r>
              <w:rPr>
                <w:rFonts w:hint="default" w:ascii="Times New Roman" w:hAnsi="Times New Roman" w:eastAsia="宋体" w:cs="Times New Roman"/>
                <w:color w:val="auto"/>
                <w:sz w:val="24"/>
                <w:szCs w:val="32"/>
                <w:vertAlign w:val="subscript"/>
              </w:rPr>
              <w:t>2.5</w:t>
            </w:r>
            <w:r>
              <w:rPr>
                <w:rFonts w:hint="default" w:ascii="Times New Roman" w:hAnsi="Times New Roman" w:eastAsia="宋体" w:cs="Times New Roman"/>
                <w:color w:val="auto"/>
                <w:sz w:val="24"/>
                <w:szCs w:val="32"/>
              </w:rPr>
              <w:t>、CO和O</w:t>
            </w:r>
            <w:r>
              <w:rPr>
                <w:rFonts w:hint="default" w:ascii="Times New Roman" w:hAnsi="Times New Roman" w:eastAsia="宋体" w:cs="Times New Roman"/>
                <w:color w:val="auto"/>
                <w:sz w:val="24"/>
                <w:szCs w:val="32"/>
                <w:vertAlign w:val="subscript"/>
              </w:rPr>
              <w:t>3</w:t>
            </w:r>
            <w:r>
              <w:rPr>
                <w:rFonts w:hint="default" w:ascii="Times New Roman" w:hAnsi="Times New Roman" w:eastAsia="宋体" w:cs="Times New Roman"/>
                <w:color w:val="auto"/>
                <w:sz w:val="24"/>
                <w:szCs w:val="32"/>
              </w:rPr>
              <w:t>质量浓度均满足《环境空气质量标准》</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GB3095-2012）二级标准限值，由此可判断乌拉特前旗为达标区</w:t>
            </w:r>
            <w:r>
              <w:rPr>
                <w:rFonts w:hint="default" w:ascii="Times New Roman" w:hAnsi="Times New Roman" w:eastAsia="宋体" w:cs="Times New Roman"/>
                <w:color w:val="auto"/>
                <w:sz w:val="24"/>
                <w:szCs w:val="32"/>
                <w:lang w:eastAsia="zh-CN"/>
              </w:rPr>
              <w:t>。</w:t>
            </w:r>
          </w:p>
          <w:p>
            <w:pPr>
              <w:spacing w:line="360" w:lineRule="auto"/>
              <w:ind w:firstLine="482" w:firstLineChars="200"/>
              <w:jc w:val="left"/>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val="en-US" w:eastAsia="zh-CN"/>
              </w:rPr>
              <w:t>1.1大气特征污染物补充监测</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w:t>
            </w:r>
            <w:r>
              <w:rPr>
                <w:rFonts w:hint="default" w:ascii="Times New Roman" w:hAnsi="Times New Roman" w:eastAsia="宋体" w:cs="Times New Roman"/>
                <w:color w:val="auto"/>
                <w:sz w:val="24"/>
                <w:szCs w:val="32"/>
                <w:lang w:eastAsia="zh-CN"/>
              </w:rPr>
              <w:t>评价的其他污染物为</w:t>
            </w:r>
            <w:r>
              <w:rPr>
                <w:rFonts w:hint="default" w:ascii="Times New Roman" w:hAnsi="Times New Roman" w:eastAsia="宋体" w:cs="Times New Roman"/>
                <w:color w:val="auto"/>
                <w:sz w:val="24"/>
                <w:szCs w:val="32"/>
                <w:lang w:val="en-US" w:eastAsia="zh-CN"/>
              </w:rPr>
              <w:t>TPS，为掌握评价区环境空气质量现状，并为影响评价提供基础资料依据，本次评价引用</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eastAsia="zh-CN"/>
              </w:rPr>
              <w:t>乌拉特前旗众泰森物联网科技有限公司石英石和钾长石深加工项目</w:t>
            </w:r>
            <w:r>
              <w:rPr>
                <w:rFonts w:hint="default" w:ascii="Times New Roman" w:hAnsi="Times New Roman" w:eastAsia="宋体" w:cs="Times New Roman"/>
                <w:color w:val="auto"/>
                <w:sz w:val="24"/>
                <w:szCs w:val="32"/>
              </w:rPr>
              <w:t>》中</w:t>
            </w:r>
            <w:r>
              <w:rPr>
                <w:rFonts w:hint="default" w:ascii="Times New Roman" w:hAnsi="Times New Roman" w:eastAsia="宋体" w:cs="Times New Roman"/>
                <w:color w:val="auto"/>
                <w:sz w:val="24"/>
                <w:szCs w:val="32"/>
                <w:lang w:val="en-US" w:eastAsia="zh-CN"/>
              </w:rPr>
              <w:t>TSP</w:t>
            </w:r>
            <w:r>
              <w:rPr>
                <w:rFonts w:hint="default" w:ascii="Times New Roman" w:hAnsi="Times New Roman" w:eastAsia="宋体" w:cs="Times New Roman"/>
                <w:color w:val="auto"/>
                <w:sz w:val="24"/>
                <w:szCs w:val="32"/>
              </w:rPr>
              <w:t>的监测数据。</w:t>
            </w:r>
          </w:p>
          <w:p>
            <w:pPr>
              <w:keepNext w:val="0"/>
              <w:keepLines w:val="0"/>
              <w:suppressLineNumbers w:val="0"/>
              <w:spacing w:before="0" w:beforeAutospacing="0" w:after="0" w:afterAutospacing="0" w:line="360" w:lineRule="auto"/>
              <w:ind w:right="0" w:firstLine="480" w:firstLineChars="200"/>
              <w:jc w:val="left"/>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eastAsia="zh-CN"/>
              </w:rPr>
              <w:t>监测单位</w:t>
            </w:r>
            <w:r>
              <w:rPr>
                <w:rFonts w:hint="default" w:ascii="Times New Roman" w:hAnsi="Times New Roman" w:eastAsia="宋体" w:cs="Times New Roman"/>
                <w:color w:val="auto"/>
                <w:sz w:val="24"/>
                <w:szCs w:val="32"/>
              </w:rPr>
              <w:t>由内蒙古华智鼎环保科技有限公司对当季主导风向下风向1个点位补充监测</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监测时间：202</w:t>
            </w:r>
            <w:r>
              <w:rPr>
                <w:rFonts w:hint="default" w:ascii="Times New Roman" w:hAnsi="Times New Roman" w:eastAsia="宋体" w:cs="Times New Roman"/>
                <w:color w:val="auto"/>
                <w:sz w:val="24"/>
                <w:szCs w:val="32"/>
                <w:lang w:val="en-US" w:eastAsia="zh-CN"/>
              </w:rPr>
              <w:t>1</w:t>
            </w:r>
            <w:r>
              <w:rPr>
                <w:rFonts w:hint="default" w:ascii="Times New Roman" w:hAnsi="Times New Roman" w:eastAsia="宋体" w:cs="Times New Roman"/>
                <w:color w:val="auto"/>
                <w:sz w:val="24"/>
                <w:szCs w:val="32"/>
              </w:rPr>
              <w:t>年</w:t>
            </w:r>
            <w:r>
              <w:rPr>
                <w:rFonts w:hint="default" w:ascii="Times New Roman" w:hAnsi="Times New Roman" w:eastAsia="宋体" w:cs="Times New Roman"/>
                <w:color w:val="auto"/>
                <w:sz w:val="24"/>
                <w:szCs w:val="32"/>
                <w:lang w:val="en-US" w:eastAsia="zh-CN"/>
              </w:rPr>
              <w:t>8</w:t>
            </w:r>
            <w:r>
              <w:rPr>
                <w:rFonts w:hint="default" w:ascii="Times New Roman" w:hAnsi="Times New Roman" w:eastAsia="宋体" w:cs="Times New Roman"/>
                <w:color w:val="auto"/>
                <w:sz w:val="24"/>
                <w:szCs w:val="32"/>
              </w:rPr>
              <w:t>月</w:t>
            </w:r>
            <w:r>
              <w:rPr>
                <w:rFonts w:hint="default" w:ascii="Times New Roman" w:hAnsi="Times New Roman" w:eastAsia="宋体" w:cs="Times New Roman"/>
                <w:color w:val="auto"/>
                <w:sz w:val="24"/>
                <w:szCs w:val="32"/>
                <w:lang w:val="en-US" w:eastAsia="zh-CN"/>
              </w:rPr>
              <w:t>18</w:t>
            </w:r>
            <w:r>
              <w:rPr>
                <w:rFonts w:hint="default" w:ascii="Times New Roman" w:hAnsi="Times New Roman" w:eastAsia="宋体" w:cs="Times New Roman"/>
                <w:color w:val="auto"/>
                <w:sz w:val="24"/>
                <w:szCs w:val="32"/>
              </w:rPr>
              <w:t>日~</w:t>
            </w:r>
            <w:r>
              <w:rPr>
                <w:rFonts w:hint="default" w:ascii="Times New Roman" w:hAnsi="Times New Roman" w:eastAsia="宋体" w:cs="Times New Roman"/>
                <w:color w:val="auto"/>
                <w:sz w:val="24"/>
                <w:szCs w:val="32"/>
                <w:lang w:val="en-US" w:eastAsia="zh-CN"/>
              </w:rPr>
              <w:t>8</w:t>
            </w:r>
            <w:r>
              <w:rPr>
                <w:rFonts w:hint="default" w:ascii="Times New Roman" w:hAnsi="Times New Roman" w:eastAsia="宋体" w:cs="Times New Roman"/>
                <w:color w:val="auto"/>
                <w:sz w:val="24"/>
                <w:szCs w:val="32"/>
              </w:rPr>
              <w:t>月</w:t>
            </w:r>
            <w:r>
              <w:rPr>
                <w:rFonts w:hint="default" w:ascii="Times New Roman" w:hAnsi="Times New Roman" w:eastAsia="宋体" w:cs="Times New Roman"/>
                <w:color w:val="auto"/>
                <w:sz w:val="24"/>
                <w:szCs w:val="32"/>
                <w:lang w:val="en-US" w:eastAsia="zh-CN"/>
              </w:rPr>
              <w:t>20</w:t>
            </w:r>
            <w:r>
              <w:rPr>
                <w:rFonts w:hint="default" w:ascii="Times New Roman" w:hAnsi="Times New Roman" w:eastAsia="宋体" w:cs="Times New Roman"/>
                <w:color w:val="auto"/>
                <w:sz w:val="24"/>
                <w:szCs w:val="32"/>
              </w:rPr>
              <w:t>日；监测点位：</w:t>
            </w:r>
            <w:r>
              <w:rPr>
                <w:rFonts w:hint="default" w:ascii="Times New Roman" w:hAnsi="Times New Roman" w:eastAsia="宋体" w:cs="Times New Roman"/>
                <w:color w:val="auto"/>
                <w:sz w:val="24"/>
                <w:szCs w:val="32"/>
                <w:lang w:eastAsia="zh-CN"/>
              </w:rPr>
              <w:t>巴彦淖尔市乌拉特前旗</w:t>
            </w:r>
            <w:r>
              <w:rPr>
                <w:rFonts w:hint="default" w:ascii="Times New Roman" w:hAnsi="Times New Roman" w:eastAsia="宋体" w:cs="Times New Roman"/>
                <w:color w:val="auto"/>
                <w:sz w:val="24"/>
                <w:szCs w:val="32"/>
                <w:lang w:val="en-US" w:eastAsia="zh-CN"/>
              </w:rPr>
              <w:t>乌拉山镇桥东区</w:t>
            </w:r>
            <w:r>
              <w:rPr>
                <w:rFonts w:hint="default" w:ascii="Times New Roman" w:hAnsi="Times New Roman" w:eastAsia="宋体" w:cs="Times New Roman"/>
                <w:color w:val="auto"/>
                <w:sz w:val="24"/>
                <w:szCs w:val="32"/>
                <w:lang w:eastAsia="zh-CN"/>
              </w:rPr>
              <w:t>乌拉特前旗众泰森物联网科技有限公司石英石和钾长石深加工项目厂区内，监测点坐标：</w:t>
            </w:r>
            <w:r>
              <w:rPr>
                <w:rFonts w:hint="default" w:ascii="Times New Roman" w:hAnsi="Times New Roman" w:eastAsia="宋体" w:cs="Times New Roman"/>
                <w:color w:val="auto"/>
                <w:sz w:val="24"/>
                <w:szCs w:val="32"/>
              </w:rPr>
              <w:t>东经：10</w:t>
            </w:r>
            <w:r>
              <w:rPr>
                <w:rFonts w:hint="default" w:ascii="Times New Roman" w:hAnsi="Times New Roman" w:eastAsia="宋体" w:cs="Times New Roman"/>
                <w:color w:val="auto"/>
                <w:sz w:val="24"/>
                <w:szCs w:val="32"/>
                <w:lang w:val="en-US" w:eastAsia="zh-CN"/>
              </w:rPr>
              <w:t>8</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val="en-US" w:eastAsia="zh-CN"/>
              </w:rPr>
              <w:t>40</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val="en-US" w:eastAsia="zh-CN"/>
              </w:rPr>
              <w:t>52.204</w:t>
            </w:r>
            <w:r>
              <w:rPr>
                <w:rFonts w:hint="default" w:ascii="Times New Roman" w:hAnsi="Times New Roman" w:eastAsia="宋体" w:cs="Times New Roman"/>
                <w:color w:val="auto"/>
                <w:sz w:val="24"/>
                <w:szCs w:val="32"/>
              </w:rPr>
              <w:t>"；北纬：40°</w:t>
            </w:r>
            <w:r>
              <w:rPr>
                <w:rFonts w:hint="default" w:ascii="Times New Roman" w:hAnsi="Times New Roman" w:eastAsia="宋体" w:cs="Times New Roman"/>
                <w:color w:val="auto"/>
                <w:sz w:val="24"/>
                <w:szCs w:val="32"/>
                <w:lang w:val="en-US" w:eastAsia="zh-CN"/>
              </w:rPr>
              <w:t>41</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val="en-US" w:eastAsia="zh-CN"/>
              </w:rPr>
              <w:t>54.334</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eastAsia="zh-CN"/>
              </w:rPr>
              <w:t>监测点位与本项目的位置关系见附图，监测因子：</w:t>
            </w:r>
            <w:r>
              <w:rPr>
                <w:rFonts w:hint="default" w:ascii="Times New Roman" w:hAnsi="Times New Roman" w:eastAsia="宋体" w:cs="Times New Roman"/>
                <w:color w:val="auto"/>
                <w:sz w:val="24"/>
                <w:szCs w:val="32"/>
                <w:lang w:val="en-US" w:eastAsia="zh-CN"/>
              </w:rPr>
              <w:t>TPS。</w:t>
            </w:r>
          </w:p>
          <w:p>
            <w:pPr>
              <w:spacing w:line="360" w:lineRule="auto"/>
              <w:ind w:firstLine="482" w:firstLineChars="20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表3-</w:t>
            </w:r>
            <w:r>
              <w:rPr>
                <w:rFonts w:hint="default"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rPr>
              <w:t xml:space="preserve">   其他污染物补充监测点位基本信息</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1"/>
              <w:gridCol w:w="1594"/>
              <w:gridCol w:w="932"/>
              <w:gridCol w:w="1325"/>
              <w:gridCol w:w="119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restart"/>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144" w:type="dxa"/>
                  <w:gridSpan w:val="2"/>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962" w:type="dxa"/>
                  <w:vMerge w:val="restart"/>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因子</w:t>
                  </w:r>
                </w:p>
              </w:tc>
              <w:tc>
                <w:tcPr>
                  <w:tcW w:w="1372" w:type="dxa"/>
                  <w:vMerge w:val="restart"/>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监测时段</w:t>
                  </w:r>
                </w:p>
              </w:tc>
              <w:tc>
                <w:tcPr>
                  <w:tcW w:w="1235" w:type="dxa"/>
                  <w:vMerge w:val="restart"/>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相对本项目厂址方位</w:t>
                  </w:r>
                </w:p>
              </w:tc>
              <w:tc>
                <w:tcPr>
                  <w:tcW w:w="1107" w:type="dxa"/>
                  <w:vMerge w:val="restart"/>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相对本项目厂界距离/m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492"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北纬</w:t>
                  </w:r>
                </w:p>
              </w:tc>
              <w:tc>
                <w:tcPr>
                  <w:tcW w:w="1652"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w:t>
                  </w:r>
                </w:p>
              </w:tc>
              <w:tc>
                <w:tcPr>
                  <w:tcW w:w="962" w:type="dxa"/>
                  <w:vMerge w:val="continue"/>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372" w:type="dxa"/>
                  <w:vMerge w:val="continue"/>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235" w:type="dxa"/>
                  <w:vMerge w:val="continue"/>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107" w:type="dxa"/>
                  <w:vMerge w:val="continue"/>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92"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r>
                    <w:rPr>
                      <w:rFonts w:hint="default" w:ascii="Times New Roman" w:hAnsi="Times New Roman" w:eastAsia="宋体" w:cs="Times New Roman"/>
                      <w:color w:val="auto"/>
                      <w:sz w:val="21"/>
                      <w:szCs w:val="21"/>
                      <w:lang w:val="en-US" w:eastAsia="zh-CN"/>
                    </w:rPr>
                    <w:t>41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54.334</w:t>
                  </w:r>
                  <w:r>
                    <w:rPr>
                      <w:rFonts w:hint="default" w:ascii="Times New Roman" w:hAnsi="Times New Roman" w:eastAsia="宋体" w:cs="Times New Roman"/>
                      <w:color w:val="auto"/>
                      <w:sz w:val="21"/>
                      <w:szCs w:val="21"/>
                    </w:rPr>
                    <w:t>"</w:t>
                  </w:r>
                </w:p>
              </w:tc>
              <w:tc>
                <w:tcPr>
                  <w:tcW w:w="1652"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52.204</w:t>
                  </w:r>
                  <w:r>
                    <w:rPr>
                      <w:rFonts w:hint="default" w:ascii="Times New Roman" w:hAnsi="Times New Roman" w:eastAsia="宋体" w:cs="Times New Roman"/>
                      <w:color w:val="auto"/>
                      <w:sz w:val="21"/>
                      <w:szCs w:val="21"/>
                    </w:rPr>
                    <w:t>"</w:t>
                  </w:r>
                </w:p>
              </w:tc>
              <w:tc>
                <w:tcPr>
                  <w:tcW w:w="962"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1372"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小时平均浓度</w:t>
                  </w:r>
                </w:p>
              </w:tc>
              <w:tc>
                <w:tcPr>
                  <w:tcW w:w="1235"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eastAsia="zh-CN"/>
                    </w:rPr>
                    <w:t>西北</w:t>
                  </w:r>
                  <w:r>
                    <w:rPr>
                      <w:rFonts w:hint="default" w:ascii="Times New Roman" w:hAnsi="Times New Roman" w:eastAsia="宋体" w:cs="Times New Roman"/>
                      <w:color w:val="auto"/>
                      <w:sz w:val="21"/>
                      <w:szCs w:val="21"/>
                    </w:rPr>
                    <w:t>侧</w:t>
                  </w:r>
                </w:p>
              </w:tc>
              <w:tc>
                <w:tcPr>
                  <w:tcW w:w="1107"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4320</w:t>
                  </w:r>
                </w:p>
              </w:tc>
            </w:tr>
          </w:tbl>
          <w:p>
            <w:pPr>
              <w:pStyle w:val="3"/>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jc w:val="center"/>
              <w:textAlignment w:val="auto"/>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szCs w:val="22"/>
              </w:rPr>
              <w:t>表</w:t>
            </w:r>
            <w:r>
              <w:rPr>
                <w:rFonts w:hint="default" w:ascii="Times New Roman" w:hAnsi="Times New Roman" w:eastAsia="宋体" w:cs="Times New Roman"/>
                <w:b/>
                <w:bCs/>
                <w:color w:val="auto"/>
                <w:sz w:val="24"/>
                <w:szCs w:val="22"/>
                <w:lang w:val="en-US" w:eastAsia="zh-CN"/>
              </w:rPr>
              <w:t>3-3</w:t>
            </w:r>
            <w:r>
              <w:rPr>
                <w:rFonts w:hint="default" w:ascii="Times New Roman" w:hAnsi="Times New Roman" w:eastAsia="宋体" w:cs="Times New Roman"/>
                <w:b/>
                <w:bCs/>
                <w:color w:val="auto"/>
                <w:sz w:val="24"/>
                <w:szCs w:val="22"/>
              </w:rPr>
              <w:t xml:space="preserve">  其他污染物环境质量现状</w:t>
            </w:r>
            <w:r>
              <w:rPr>
                <w:rFonts w:hint="default" w:ascii="Times New Roman" w:hAnsi="Times New Roman" w:eastAsia="宋体" w:cs="Times New Roman"/>
                <w:b/>
                <w:bCs/>
                <w:color w:val="auto"/>
                <w:sz w:val="24"/>
                <w:szCs w:val="22"/>
                <w:lang w:eastAsia="zh-CN"/>
              </w:rPr>
              <w:t>（</w:t>
            </w:r>
            <w:r>
              <w:rPr>
                <w:rFonts w:hint="default" w:ascii="Times New Roman" w:hAnsi="Times New Roman" w:eastAsia="宋体" w:cs="Times New Roman"/>
                <w:b/>
                <w:bCs/>
                <w:color w:val="auto"/>
                <w:sz w:val="24"/>
                <w:szCs w:val="22"/>
              </w:rPr>
              <w:t>监测结果）</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480"/>
              <w:gridCol w:w="780"/>
              <w:gridCol w:w="1306"/>
              <w:gridCol w:w="1319"/>
              <w:gridCol w:w="1227"/>
              <w:gridCol w:w="796"/>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480"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80"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平均时间</w:t>
                  </w:r>
                </w:p>
              </w:tc>
              <w:tc>
                <w:tcPr>
                  <w:tcW w:w="1306"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μg/m3）</w:t>
                  </w:r>
                </w:p>
              </w:tc>
              <w:tc>
                <w:tcPr>
                  <w:tcW w:w="1319"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监测浓度范围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μg/m3）</w:t>
                  </w:r>
                </w:p>
              </w:tc>
              <w:tc>
                <w:tcPr>
                  <w:tcW w:w="1227"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最大浓度占标率/%</w:t>
                  </w:r>
                </w:p>
              </w:tc>
              <w:tc>
                <w:tcPr>
                  <w:tcW w:w="796"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797"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乌拉特前旗众泰森物联网科技有限公司</w:t>
                  </w:r>
                </w:p>
              </w:tc>
              <w:tc>
                <w:tcPr>
                  <w:tcW w:w="480"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7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小时平均浓度</w:t>
                  </w:r>
                </w:p>
              </w:tc>
              <w:tc>
                <w:tcPr>
                  <w:tcW w:w="1306" w:type="dxa"/>
                  <w:noWrap w:val="0"/>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139~ 171</w:t>
                  </w:r>
                </w:p>
              </w:tc>
              <w:tc>
                <w:tcPr>
                  <w:tcW w:w="12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79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p>
              </w:tc>
              <w:tc>
                <w:tcPr>
                  <w:tcW w:w="79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否</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从上表其他污染物现状监测数据统计结果可知，其他污染物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TSP）24小时平均浓度满足《环境空气质量标准》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GB3095－2012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二级标准</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zh-CN" w:eastAsia="zh-CN"/>
              </w:rPr>
              <w:t>声环境</w:t>
            </w:r>
            <w:r>
              <w:rPr>
                <w:rFonts w:hint="default" w:ascii="Times New Roman" w:hAnsi="Times New Roman" w:eastAsia="宋体" w:cs="Times New Roman"/>
                <w:b/>
                <w:bCs/>
                <w:color w:val="auto"/>
                <w:sz w:val="24"/>
                <w:szCs w:val="24"/>
                <w:lang w:val="en-US" w:eastAsia="zh-CN"/>
              </w:rPr>
              <w:t>质量</w:t>
            </w:r>
            <w:r>
              <w:rPr>
                <w:rFonts w:hint="default" w:ascii="Times New Roman" w:hAnsi="Times New Roman" w:eastAsia="宋体" w:cs="Times New Roman"/>
                <w:b/>
                <w:bCs/>
                <w:color w:val="auto"/>
                <w:sz w:val="24"/>
                <w:szCs w:val="24"/>
                <w:lang w:val="zh-CN" w:eastAsia="zh-CN"/>
              </w:rPr>
              <w:t>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为了解拟建项目所处区域声环境质量，本评价委托内蒙古</w:t>
            </w:r>
            <w:r>
              <w:rPr>
                <w:rFonts w:hint="default" w:ascii="Times New Roman" w:hAnsi="Times New Roman" w:eastAsia="宋体" w:cs="Times New Roman"/>
                <w:color w:val="auto"/>
                <w:sz w:val="24"/>
                <w:szCs w:val="24"/>
                <w:lang w:eastAsia="zh-CN"/>
              </w:rPr>
              <w:t>华智鼎环保</w:t>
            </w:r>
            <w:r>
              <w:rPr>
                <w:rFonts w:hint="default" w:ascii="Times New Roman" w:hAnsi="Times New Roman" w:eastAsia="宋体" w:cs="Times New Roman"/>
                <w:color w:val="auto"/>
                <w:sz w:val="24"/>
                <w:szCs w:val="24"/>
              </w:rPr>
              <w:t>科技有限公司对拟建项目声环境质量现状进行了监测，在拟建项目厂界的</w:t>
            </w:r>
            <w:r>
              <w:rPr>
                <w:rFonts w:hint="default" w:ascii="Times New Roman" w:hAnsi="Times New Roman" w:eastAsia="宋体" w:cs="Times New Roman"/>
                <w:color w:val="auto"/>
                <w:sz w:val="24"/>
                <w:szCs w:val="24"/>
                <w:lang w:eastAsia="zh-CN"/>
              </w:rPr>
              <w:t>东、南、西、北</w:t>
            </w:r>
            <w:r>
              <w:rPr>
                <w:rFonts w:hint="default" w:ascii="Times New Roman" w:hAnsi="Times New Roman" w:eastAsia="宋体" w:cs="Times New Roman"/>
                <w:color w:val="auto"/>
                <w:sz w:val="24"/>
                <w:szCs w:val="24"/>
              </w:rPr>
              <w:t>四个方向</w:t>
            </w:r>
            <w:r>
              <w:rPr>
                <w:rFonts w:hint="default" w:ascii="Times New Roman" w:hAnsi="Times New Roman" w:eastAsia="宋体" w:cs="Times New Roman"/>
                <w:color w:val="auto"/>
                <w:sz w:val="24"/>
                <w:szCs w:val="24"/>
                <w:lang w:val="en-US" w:eastAsia="zh-CN"/>
              </w:rPr>
              <w:t>各设置1个，南侧20m处居民楼设置1个</w:t>
            </w:r>
            <w:r>
              <w:rPr>
                <w:rFonts w:hint="default" w:ascii="Times New Roman" w:hAnsi="Times New Roman" w:eastAsia="宋体" w:cs="Times New Roman"/>
                <w:color w:val="auto"/>
                <w:sz w:val="24"/>
                <w:szCs w:val="24"/>
              </w:rPr>
              <w:t>，共计</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个监测点位。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（1）监测点位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default" w:ascii="Times New Roman" w:hAnsi="Times New Roman" w:eastAsia="宋体" w:cs="Times New Roman"/>
                <w:b/>
                <w:bCs/>
                <w:color w:val="auto"/>
                <w:sz w:val="24"/>
                <w:szCs w:val="22"/>
                <w:lang w:val="en-US" w:eastAsia="zh-CN"/>
              </w:rPr>
              <w:t xml:space="preserve">3-4 </w:t>
            </w:r>
            <w:r>
              <w:rPr>
                <w:rFonts w:hint="default" w:ascii="Times New Roman" w:hAnsi="Times New Roman" w:eastAsia="宋体" w:cs="Times New Roman"/>
                <w:b/>
                <w:bCs/>
                <w:color w:val="auto"/>
                <w:sz w:val="24"/>
                <w:szCs w:val="24"/>
                <w:lang w:val="en-US" w:eastAsia="zh-CN"/>
              </w:rPr>
              <w:t xml:space="preserve">  噪声监测点位设置情况</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40"/>
              <w:gridCol w:w="1792"/>
              <w:gridCol w:w="1792"/>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86"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bookmarkStart w:id="2" w:name="_Toc84942731"/>
                  <w:bookmarkStart w:id="3" w:name="_Toc84874010"/>
                  <w:bookmarkStart w:id="4" w:name="_Toc84911502"/>
                  <w:bookmarkStart w:id="5" w:name="_Toc84650184"/>
                  <w:bookmarkStart w:id="6" w:name="_Toc84869881"/>
                  <w:bookmarkStart w:id="7" w:name="_Toc84873227"/>
                  <w:bookmarkStart w:id="8" w:name="_Toc84846987"/>
                  <w:bookmarkStart w:id="9" w:name="_Toc84847230"/>
                  <w:bookmarkStart w:id="10" w:name="_Toc84868177"/>
                  <w:bookmarkStart w:id="11" w:name="_Toc84872762"/>
                  <w:bookmarkStart w:id="12" w:name="_Toc84846743"/>
                  <w:bookmarkStart w:id="13" w:name="_Toc84910849"/>
                  <w:bookmarkStart w:id="14" w:name="_Toc84873471"/>
                  <w:bookmarkStart w:id="15" w:name="_Toc84869487"/>
                  <w:bookmarkStart w:id="16" w:name="_Toc84867080"/>
                  <w:bookmarkStart w:id="17" w:name="_Toc84873767"/>
                  <w:bookmarkStart w:id="18" w:name="_Toc84867756"/>
                  <w:bookmarkStart w:id="19" w:name="_Toc84846493"/>
                  <w:bookmarkStart w:id="20" w:name="_Toc84874253"/>
                  <w:r>
                    <w:rPr>
                      <w:rFonts w:hint="default" w:ascii="Times New Roman" w:hAnsi="Times New Roman" w:eastAsia="宋体" w:cs="Times New Roman"/>
                      <w:b/>
                      <w:bCs/>
                      <w:color w:val="auto"/>
                      <w:sz w:val="21"/>
                      <w:szCs w:val="21"/>
                      <w:lang w:val="zh-CN"/>
                    </w:rPr>
                    <w:t>监测点位</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监测项目</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监测频率</w:t>
                  </w:r>
                </w:p>
              </w:tc>
              <w:tc>
                <w:tcPr>
                  <w:tcW w:w="218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厂界</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四周</w:t>
                  </w:r>
                </w:p>
              </w:tc>
              <w:tc>
                <w:tcPr>
                  <w:tcW w:w="152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rPr>
                    <w:t>东厂界N</w:t>
                  </w:r>
                  <w:r>
                    <w:rPr>
                      <w:rFonts w:hint="default" w:ascii="Times New Roman" w:hAnsi="Times New Roman" w:eastAsia="宋体" w:cs="Times New Roman"/>
                      <w:color w:val="auto"/>
                      <w:sz w:val="21"/>
                      <w:szCs w:val="21"/>
                      <w:lang w:val="en-US" w:eastAsia="zh-CN"/>
                    </w:rPr>
                    <w:t>1</w:t>
                  </w:r>
                </w:p>
              </w:tc>
              <w:tc>
                <w:tcPr>
                  <w:tcW w:w="167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等效连续A声级L</w:t>
                  </w:r>
                  <w:r>
                    <w:rPr>
                      <w:rFonts w:hint="default" w:ascii="Times New Roman" w:hAnsi="Times New Roman" w:eastAsia="宋体" w:cs="Times New Roman"/>
                      <w:color w:val="auto"/>
                      <w:sz w:val="21"/>
                      <w:szCs w:val="21"/>
                      <w:vertAlign w:val="subscript"/>
                      <w:lang w:val="zh-CN"/>
                    </w:rPr>
                    <w:t>Aeq</w:t>
                  </w:r>
                </w:p>
              </w:tc>
              <w:tc>
                <w:tcPr>
                  <w:tcW w:w="167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昼、夜间各监测1次，连续监测2天</w:t>
                  </w:r>
                </w:p>
              </w:tc>
              <w:tc>
                <w:tcPr>
                  <w:tcW w:w="2189"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《声环境质量标准》中</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zh-CN"/>
                    </w:rPr>
                    <w:t>类标准（昼间≤6</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zh-CN"/>
                    </w:rPr>
                    <w:t>dB（A），夜间≤5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152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rPr>
                    <w:t>南厂界N</w:t>
                  </w:r>
                  <w:r>
                    <w:rPr>
                      <w:rFonts w:hint="default" w:ascii="Times New Roman" w:hAnsi="Times New Roman" w:eastAsia="宋体" w:cs="Times New Roman"/>
                      <w:color w:val="auto"/>
                      <w:sz w:val="21"/>
                      <w:szCs w:val="21"/>
                      <w:lang w:val="en-US" w:eastAsia="zh-CN"/>
                    </w:rPr>
                    <w:t>2</w:t>
                  </w:r>
                </w:p>
              </w:tc>
              <w:tc>
                <w:tcPr>
                  <w:tcW w:w="167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167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152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西厂界N</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zh-CN"/>
                    </w:rPr>
                    <w:t xml:space="preserve"> </w:t>
                  </w:r>
                </w:p>
              </w:tc>
              <w:tc>
                <w:tcPr>
                  <w:tcW w:w="167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167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152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北厂界N</w:t>
                  </w:r>
                  <w:r>
                    <w:rPr>
                      <w:rFonts w:hint="default" w:ascii="Times New Roman" w:hAnsi="Times New Roman" w:eastAsia="宋体" w:cs="Times New Roman"/>
                      <w:color w:val="auto"/>
                      <w:sz w:val="21"/>
                      <w:szCs w:val="21"/>
                      <w:lang w:val="en-US" w:eastAsia="zh-CN"/>
                    </w:rPr>
                    <w:t>4</w:t>
                  </w:r>
                </w:p>
              </w:tc>
              <w:tc>
                <w:tcPr>
                  <w:tcW w:w="167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167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152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南侧20m居民楼</w:t>
                  </w:r>
                </w:p>
              </w:tc>
              <w:tc>
                <w:tcPr>
                  <w:tcW w:w="167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167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（2）监测时间、频率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监测时间：2022年10月2日~2022年10月3日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监测因子及频率：</w:t>
            </w:r>
            <w:r>
              <w:rPr>
                <w:rFonts w:hint="default" w:ascii="Times New Roman" w:hAnsi="Times New Roman" w:eastAsia="宋体" w:cs="Times New Roman"/>
                <w:color w:val="auto"/>
                <w:sz w:val="24"/>
                <w:szCs w:val="24"/>
              </w:rPr>
              <w:t>连续等效A声级（Leq）</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每天昼间6:00-22:00、夜间22:00-</w:t>
            </w:r>
            <w:r>
              <w:rPr>
                <w:rFonts w:hint="default" w:ascii="Times New Roman" w:hAnsi="Times New Roman" w:eastAsia="宋体" w:cs="Times New Roman"/>
                <w:color w:val="auto"/>
                <w:sz w:val="24"/>
                <w:szCs w:val="24"/>
                <w:lang w:eastAsia="zh-CN"/>
              </w:rPr>
              <w:t>次日</w:t>
            </w:r>
            <w:r>
              <w:rPr>
                <w:rFonts w:hint="default" w:ascii="Times New Roman" w:hAnsi="Times New Roman" w:eastAsia="宋体" w:cs="Times New Roman"/>
                <w:color w:val="auto"/>
                <w:sz w:val="24"/>
                <w:szCs w:val="24"/>
              </w:rPr>
              <w:t>6:00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（3）执行与评价标</w:t>
            </w:r>
            <w:r>
              <w:rPr>
                <w:rFonts w:hint="default" w:ascii="Times New Roman" w:hAnsi="Times New Roman" w:eastAsia="宋体" w:cs="Times New Roman"/>
                <w:b w:val="0"/>
                <w:bCs w:val="0"/>
                <w:color w:val="auto"/>
                <w:sz w:val="24"/>
                <w:szCs w:val="24"/>
                <w:lang w:val="en-US" w:eastAsia="zh-CN"/>
              </w:rPr>
              <w:t>准：</w:t>
            </w:r>
            <w:r>
              <w:rPr>
                <w:rFonts w:hint="default" w:ascii="Times New Roman" w:hAnsi="Times New Roman" w:eastAsia="宋体" w:cs="Times New Roman"/>
                <w:b w:val="0"/>
                <w:bCs w:val="0"/>
                <w:color w:val="auto"/>
                <w:sz w:val="24"/>
                <w:szCs w:val="24"/>
              </w:rPr>
              <w:t>按《声环境质量标准》（GB3096-2008）执行。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（4）噪声监测结果：如表</w:t>
            </w:r>
            <w:r>
              <w:rPr>
                <w:rFonts w:hint="default" w:ascii="Times New Roman" w:hAnsi="Times New Roman" w:eastAsia="宋体" w:cs="Times New Roman"/>
                <w:b w:val="0"/>
                <w:bCs w:val="0"/>
                <w:color w:val="auto"/>
                <w:sz w:val="24"/>
                <w:szCs w:val="22"/>
                <w:lang w:val="en-US" w:eastAsia="zh-CN"/>
              </w:rPr>
              <w:t>3-5</w:t>
            </w:r>
            <w:r>
              <w:rPr>
                <w:rFonts w:hint="default" w:ascii="Times New Roman" w:hAnsi="Times New Roman" w:eastAsia="宋体" w:cs="Times New Roman"/>
                <w:b w:val="0"/>
                <w:bCs w:val="0"/>
                <w:color w:val="auto"/>
                <w:sz w:val="24"/>
                <w:szCs w:val="24"/>
                <w:lang w:val="en-US" w:eastAsia="zh-CN"/>
              </w:rPr>
              <w:t>所示</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default" w:ascii="Times New Roman" w:hAnsi="Times New Roman" w:eastAsia="宋体" w:cs="Times New Roman"/>
                <w:b/>
                <w:bCs/>
                <w:color w:val="auto"/>
                <w:sz w:val="24"/>
                <w:szCs w:val="22"/>
                <w:lang w:val="en-US" w:eastAsia="zh-CN"/>
              </w:rPr>
              <w:t>3-5</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声环境噪声现状监测结果统计表   单位：dB（A）</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60"/>
              <w:gridCol w:w="2133"/>
              <w:gridCol w:w="860"/>
              <w:gridCol w:w="1351"/>
              <w:gridCol w:w="861"/>
              <w:gridCol w:w="1351"/>
              <w:gridCol w:w="86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检测点位名称</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检测点位坐标</w:t>
                  </w:r>
                </w:p>
              </w:tc>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检测日期</w:t>
                  </w:r>
                </w:p>
              </w:tc>
              <w:tc>
                <w:tcPr>
                  <w:tcW w:w="13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检测时间（昼）</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结果值dB(A)</w:t>
                  </w:r>
                </w:p>
              </w:tc>
              <w:tc>
                <w:tcPr>
                  <w:tcW w:w="13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检测时间（夜）</w:t>
                  </w:r>
                </w:p>
              </w:tc>
              <w:tc>
                <w:tcPr>
                  <w:tcW w:w="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结果值dB(A)</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厂界东侧1#</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E108°43′42.33″，N40°40′35.35″</w:t>
                  </w:r>
                </w:p>
              </w:tc>
              <w:tc>
                <w:tcPr>
                  <w:tcW w:w="8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2022.9.18</w:t>
                  </w:r>
                </w:p>
              </w:tc>
              <w:tc>
                <w:tcPr>
                  <w:tcW w:w="13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13:11-13：21</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53</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22:04-22:14</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厂界南侧2#</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E108°43′39.59″，N40°40′34.83″</w:t>
                  </w: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3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13:35-13:45</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54</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22:20-22:30</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厂界西侧3#</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E108°43′37.89″，N40°40′35.19″</w:t>
                  </w: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13:53-14:03</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49</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22:38-22:48</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厂界北侧4#</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E108°43′40.05″，N40°40′36.21″</w:t>
                  </w: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14:06-14:16</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22:53-23:03</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南侧20m居民楼</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E108°43′39.55″，N40°40′34.37″</w:t>
                  </w: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14:26-14:36</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49</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23:15-23:25</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厂界东侧1#</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E108°43′42.33″，N40°40′35.35″</w:t>
                  </w:r>
                </w:p>
              </w:tc>
              <w:tc>
                <w:tcPr>
                  <w:tcW w:w="8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2022.9.19</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10:33-10:43</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52</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22:12-22:22</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厂界南侧2#</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E108°43′39.59″，N40°40′34.83″</w:t>
                  </w: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10:46-10:56</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53</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22:26-22:36</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厂界西侧3#</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E108°43′37.89″，N40°40′35.19″</w:t>
                  </w: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11:05-11:15</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50</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22:42-22:52</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厂界北侧4#</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E108°43′40.05″，N40°40′36.21″</w:t>
                  </w: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11:19-11:29</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54</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22:58-23:08</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南侧20m居民楼</w:t>
                  </w:r>
                </w:p>
              </w:tc>
              <w:tc>
                <w:tcPr>
                  <w:tcW w:w="21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E108°43′39.55″，N40°40′34.37″</w:t>
                  </w: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11:36-11:46</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135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23:19-23:29</w:t>
                  </w:r>
                </w:p>
              </w:tc>
              <w:tc>
                <w:tcPr>
                  <w:tcW w:w="861" w:type="dxa"/>
                  <w:tcBorders>
                    <w:tl2br w:val="nil"/>
                    <w:tr2bl w:val="nil"/>
                  </w:tcBorders>
                  <w:vAlign w:val="center"/>
                </w:tcPr>
                <w:p>
                  <w:pPr>
                    <w:pStyle w:val="29"/>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41</w:t>
                  </w:r>
                </w:p>
              </w:tc>
            </w:tr>
          </w:tbl>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从表3-5可知，项目区四周环境噪声昼间在49dB(A)~55dB(A)之间，夜间在40dB(A)~45dB(A)之间；南侧20m居民楼昼间在49dB(A)~50dB(A)之间，夜间在41dB(A)~43dB(A)之间。各监测点的昼、夜噪声值均满足《声环境质量标准》（GB3096-2008）中2类</w:t>
            </w:r>
            <w:r>
              <w:rPr>
                <w:rFonts w:hint="default" w:ascii="Times New Roman" w:hAnsi="Times New Roman" w:eastAsia="宋体" w:cs="Times New Roman"/>
                <w:color w:val="auto"/>
                <w:kern w:val="2"/>
                <w:sz w:val="24"/>
                <w:szCs w:val="22"/>
                <w:lang w:val="en-US" w:eastAsia="zh-CN" w:bidi="ar-SA"/>
              </w:rPr>
              <w:t>标准要求。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地下水、土壤环境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按照《建设项目环境影响报告表编制技术指南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污染影响类）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试行）》，原则上不开展地下水、土壤环境质量现状调查。</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依据《环境影响评价技术导则 地下水环境》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HJ610-2016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附录A-地下水环境影响评价行业分类表之划分，建设项目地下水环境影响评价项目类别属</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4 \* ROMAN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IV</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参见附录A-地下水环境影响评价行业分类表- 142、热力生产和供应工程-其他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。因此无需进行地下水监测及评价。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对照《环境影响评价技术导则  土壤环境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试行）》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HJ964-2018），判定本项目土壤类别为“其他”，为Ⅳ类建设项目，根据《环境影响评价技术导则  土壤环境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试行）》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HJ964-2018）4.2.2“Ⅳ类项目可不开展土壤环境影响评价”。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环境保护目标</w:t>
            </w:r>
          </w:p>
        </w:tc>
        <w:tc>
          <w:tcPr>
            <w:tcW w:w="8399" w:type="dxa"/>
            <w:vAlign w:val="center"/>
          </w:tcPr>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根据区域环境功能特征及建设项目地理位置和性质，确定受本项目影响主要保护目标如下：</w:t>
            </w:r>
          </w:p>
          <w:p>
            <w:pPr>
              <w:tabs>
                <w:tab w:val="left" w:pos="1992"/>
              </w:tabs>
              <w:spacing w:line="360" w:lineRule="auto"/>
              <w:ind w:firstLine="482" w:firstLineChars="20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表3</w:t>
            </w: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具体保护目标</w:t>
            </w:r>
            <w:r>
              <w:rPr>
                <w:rFonts w:hint="default" w:ascii="Times New Roman" w:hAnsi="Times New Roman" w:eastAsia="宋体" w:cs="Times New Roman"/>
                <w:b/>
                <w:bCs/>
                <w:color w:val="auto"/>
                <w:sz w:val="24"/>
                <w:highlight w:val="none"/>
                <w:lang w:val="en-US" w:eastAsia="zh-CN"/>
              </w:rPr>
              <w:t>一览表</w:t>
            </w:r>
          </w:p>
          <w:tbl>
            <w:tblPr>
              <w:tblStyle w:val="22"/>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726"/>
              <w:gridCol w:w="1539"/>
              <w:gridCol w:w="91"/>
              <w:gridCol w:w="1958"/>
              <w:gridCol w:w="1302"/>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5" w:type="dxa"/>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环境要素</w:t>
                  </w:r>
                </w:p>
              </w:tc>
              <w:tc>
                <w:tcPr>
                  <w:tcW w:w="726" w:type="dxa"/>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保护范围</w:t>
                  </w:r>
                </w:p>
              </w:tc>
              <w:tc>
                <w:tcPr>
                  <w:tcW w:w="1539" w:type="dxa"/>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保护目标</w:t>
                  </w:r>
                  <w:r>
                    <w:rPr>
                      <w:rFonts w:hint="default" w:ascii="Times New Roman" w:hAnsi="Times New Roman" w:eastAsia="宋体" w:cs="Times New Roman"/>
                      <w:b/>
                      <w:bCs/>
                      <w:color w:val="auto"/>
                      <w:sz w:val="21"/>
                      <w:szCs w:val="21"/>
                      <w:highlight w:val="none"/>
                      <w:lang w:val="en-US" w:eastAsia="zh-CN"/>
                    </w:rPr>
                    <w:t>名称</w:t>
                  </w:r>
                </w:p>
              </w:tc>
              <w:tc>
                <w:tcPr>
                  <w:tcW w:w="2049" w:type="dxa"/>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相对位置距离</w:t>
                  </w:r>
                  <w:r>
                    <w:rPr>
                      <w:rFonts w:hint="default" w:ascii="Times New Roman" w:hAnsi="Times New Roman" w:eastAsia="宋体" w:cs="Times New Roman"/>
                      <w:b/>
                      <w:bCs/>
                      <w:color w:val="auto"/>
                      <w:kern w:val="2"/>
                      <w:sz w:val="21"/>
                      <w:szCs w:val="21"/>
                      <w:highlight w:val="none"/>
                      <w:lang w:eastAsia="zh-CN"/>
                    </w:rPr>
                    <w:t>（</w:t>
                  </w:r>
                  <w:r>
                    <w:rPr>
                      <w:rFonts w:hint="default" w:ascii="Times New Roman" w:hAnsi="Times New Roman" w:eastAsia="宋体" w:cs="Times New Roman"/>
                      <w:b/>
                      <w:bCs/>
                      <w:color w:val="auto"/>
                      <w:kern w:val="2"/>
                      <w:sz w:val="21"/>
                      <w:szCs w:val="21"/>
                      <w:highlight w:val="none"/>
                    </w:rPr>
                    <w:t>m）</w:t>
                  </w:r>
                </w:p>
              </w:tc>
              <w:tc>
                <w:tcPr>
                  <w:tcW w:w="1302" w:type="dxa"/>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人数</w:t>
                  </w:r>
                </w:p>
              </w:tc>
              <w:tc>
                <w:tcPr>
                  <w:tcW w:w="1865" w:type="dxa"/>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dxa"/>
                  <w:vMerge w:val="restart"/>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726" w:type="dxa"/>
                  <w:vMerge w:val="restart"/>
                  <w:noWrap w:val="0"/>
                  <w:vAlign w:val="center"/>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厂界外扩</w:t>
                  </w:r>
                  <w:r>
                    <w:rPr>
                      <w:rFonts w:hint="default" w:ascii="Times New Roman" w:hAnsi="Times New Roman" w:eastAsia="宋体" w:cs="Times New Roman"/>
                      <w:b w:val="0"/>
                      <w:bCs w:val="0"/>
                      <w:color w:val="auto"/>
                      <w:sz w:val="21"/>
                      <w:szCs w:val="21"/>
                      <w:highlight w:val="none"/>
                      <w:vertAlign w:val="baseline"/>
                      <w:lang w:val="en-US" w:eastAsia="zh-CN"/>
                    </w:rPr>
                    <w:t>500m</w:t>
                  </w:r>
                  <w:r>
                    <w:rPr>
                      <w:rFonts w:hint="default" w:ascii="Times New Roman" w:hAnsi="Times New Roman" w:eastAsia="宋体" w:cs="Times New Roman"/>
                      <w:color w:val="auto"/>
                      <w:sz w:val="21"/>
                      <w:szCs w:val="21"/>
                      <w:highlight w:val="none"/>
                    </w:rPr>
                    <w:t>范围</w:t>
                  </w:r>
                </w:p>
              </w:tc>
              <w:tc>
                <w:tcPr>
                  <w:tcW w:w="153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社区居民</w:t>
                  </w:r>
                </w:p>
              </w:tc>
              <w:tc>
                <w:tcPr>
                  <w:tcW w:w="2049" w:type="dxa"/>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20m~500m</w:t>
                  </w:r>
                </w:p>
              </w:tc>
              <w:tc>
                <w:tcPr>
                  <w:tcW w:w="130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1500人</w:t>
                  </w:r>
                </w:p>
              </w:tc>
              <w:tc>
                <w:tcPr>
                  <w:tcW w:w="1865" w:type="dxa"/>
                  <w:vMerge w:val="restart"/>
                  <w:noWrap w:val="0"/>
                  <w:vAlign w:val="center"/>
                </w:tcPr>
                <w:p>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dxa"/>
                  <w:vMerge w:val="continue"/>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color w:val="auto"/>
                      <w:sz w:val="21"/>
                      <w:szCs w:val="21"/>
                      <w:highlight w:val="none"/>
                    </w:rPr>
                  </w:pPr>
                </w:p>
              </w:tc>
              <w:tc>
                <w:tcPr>
                  <w:tcW w:w="726" w:type="dxa"/>
                  <w:vMerge w:val="continue"/>
                  <w:noWrap w:val="0"/>
                  <w:vAlign w:val="center"/>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53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乌拉山镇化肥厂卫生院</w:t>
                  </w:r>
                </w:p>
              </w:tc>
              <w:tc>
                <w:tcPr>
                  <w:tcW w:w="2049" w:type="dxa"/>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北侧80m</w:t>
                  </w:r>
                </w:p>
              </w:tc>
              <w:tc>
                <w:tcPr>
                  <w:tcW w:w="130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30人</w:t>
                  </w:r>
                </w:p>
              </w:tc>
              <w:tc>
                <w:tcPr>
                  <w:tcW w:w="1865" w:type="dxa"/>
                  <w:vMerge w:val="continue"/>
                  <w:noWrap w:val="0"/>
                  <w:vAlign w:val="center"/>
                </w:tcPr>
                <w:p>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dxa"/>
                  <w:vMerge w:val="continue"/>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color w:val="auto"/>
                      <w:sz w:val="21"/>
                      <w:szCs w:val="21"/>
                      <w:highlight w:val="none"/>
                    </w:rPr>
                  </w:pPr>
                </w:p>
              </w:tc>
              <w:tc>
                <w:tcPr>
                  <w:tcW w:w="726" w:type="dxa"/>
                  <w:vMerge w:val="continue"/>
                  <w:noWrap w:val="0"/>
                  <w:vAlign w:val="center"/>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53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乌拉特前旗第八小学</w:t>
                  </w:r>
                </w:p>
              </w:tc>
              <w:tc>
                <w:tcPr>
                  <w:tcW w:w="2049" w:type="dxa"/>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北侧300m</w:t>
                  </w:r>
                </w:p>
              </w:tc>
              <w:tc>
                <w:tcPr>
                  <w:tcW w:w="130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150人</w:t>
                  </w:r>
                </w:p>
              </w:tc>
              <w:tc>
                <w:tcPr>
                  <w:tcW w:w="1865" w:type="dxa"/>
                  <w:vMerge w:val="continue"/>
                  <w:noWrap w:val="0"/>
                  <w:vAlign w:val="center"/>
                </w:tcPr>
                <w:p>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dxa"/>
                  <w:noWrap w:val="0"/>
                  <w:vAlign w:val="center"/>
                </w:tcPr>
                <w:p>
                  <w:pPr>
                    <w:keepNext w:val="0"/>
                    <w:keepLines w:val="0"/>
                    <w:suppressLineNumbers w:val="0"/>
                    <w:spacing w:before="0" w:beforeAutospacing="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环境</w:t>
                  </w:r>
                </w:p>
              </w:tc>
              <w:tc>
                <w:tcPr>
                  <w:tcW w:w="726" w:type="dxa"/>
                  <w:noWrap w:val="0"/>
                  <w:vAlign w:val="center"/>
                </w:tcPr>
                <w:p>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厂界外扩</w:t>
                  </w:r>
                  <w:r>
                    <w:rPr>
                      <w:rFonts w:hint="default" w:ascii="Times New Roman" w:hAnsi="Times New Roman" w:eastAsia="宋体" w:cs="Times New Roman"/>
                      <w:b w:val="0"/>
                      <w:bCs w:val="0"/>
                      <w:color w:val="auto"/>
                      <w:sz w:val="21"/>
                      <w:szCs w:val="21"/>
                      <w:highlight w:val="none"/>
                      <w:vertAlign w:val="baseline"/>
                      <w:lang w:val="en-US" w:eastAsia="zh-CN"/>
                    </w:rPr>
                    <w:t>500m</w:t>
                  </w:r>
                  <w:r>
                    <w:rPr>
                      <w:rFonts w:hint="default" w:ascii="Times New Roman" w:hAnsi="Times New Roman" w:eastAsia="宋体" w:cs="Times New Roman"/>
                      <w:color w:val="auto"/>
                      <w:sz w:val="21"/>
                      <w:szCs w:val="21"/>
                      <w:highlight w:val="none"/>
                    </w:rPr>
                    <w:t>范围</w:t>
                  </w:r>
                </w:p>
              </w:tc>
              <w:tc>
                <w:tcPr>
                  <w:tcW w:w="4890" w:type="dxa"/>
                  <w:gridSpan w:val="4"/>
                  <w:noWrap w:val="0"/>
                  <w:vAlign w:val="center"/>
                </w:tcPr>
                <w:p>
                  <w:pPr>
                    <w:keepNext w:val="0"/>
                    <w:keepLines w:val="0"/>
                    <w:suppressLineNumbers w:val="0"/>
                    <w:shd w:val="clear" w:color="auto" w:fill="auto"/>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厂界外500m范围内无地下水集中式饮用水水源和热水、矿泉水、温泉等特殊地下水资源</w:t>
                  </w:r>
                </w:p>
              </w:tc>
              <w:tc>
                <w:tcPr>
                  <w:tcW w:w="1865" w:type="dxa"/>
                  <w:noWrap w:val="0"/>
                  <w:vAlign w:val="center"/>
                </w:tcPr>
                <w:p>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《地下水质量标准》（GB/T14848-2017）</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III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声环境</w:t>
                  </w:r>
                </w:p>
              </w:tc>
              <w:tc>
                <w:tcPr>
                  <w:tcW w:w="726"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厂界外扩50m范围</w:t>
                  </w:r>
                </w:p>
              </w:tc>
              <w:tc>
                <w:tcPr>
                  <w:tcW w:w="1630" w:type="dxa"/>
                  <w:gridSpan w:val="2"/>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社区居民</w:t>
                  </w:r>
                  <w:r>
                    <w:rPr>
                      <w:rFonts w:hint="default" w:ascii="Times New Roman" w:hAnsi="Times New Roman" w:eastAsia="宋体" w:cs="Times New Roman"/>
                      <w:color w:val="auto"/>
                      <w:sz w:val="21"/>
                      <w:szCs w:val="21"/>
                      <w:highlight w:val="none"/>
                      <w:lang w:val="en-US" w:eastAsia="zh-CN"/>
                    </w:rPr>
                    <w:t>楼</w:t>
                  </w:r>
                </w:p>
              </w:tc>
              <w:tc>
                <w:tcPr>
                  <w:tcW w:w="195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南侧20m~50m</w:t>
                  </w:r>
                </w:p>
              </w:tc>
              <w:tc>
                <w:tcPr>
                  <w:tcW w:w="1302"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85人</w:t>
                  </w:r>
                </w:p>
              </w:tc>
              <w:tc>
                <w:tcPr>
                  <w:tcW w:w="1865"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《声环境质量标准》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GB3096- 2008）2类标准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dxa"/>
                  <w:noWrap w:val="0"/>
                  <w:vAlign w:val="center"/>
                </w:tcPr>
                <w:p>
                  <w:pPr>
                    <w:keepNext w:val="0"/>
                    <w:keepLines w:val="0"/>
                    <w:suppressLineNumbers w:val="0"/>
                    <w:spacing w:before="0"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生态环境</w:t>
                  </w:r>
                </w:p>
              </w:tc>
              <w:tc>
                <w:tcPr>
                  <w:tcW w:w="726" w:type="dxa"/>
                  <w:noWrap w:val="0"/>
                  <w:vAlign w:val="center"/>
                </w:tcPr>
                <w:p>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占地范围内</w:t>
                  </w:r>
                </w:p>
              </w:tc>
              <w:tc>
                <w:tcPr>
                  <w:tcW w:w="4890" w:type="dxa"/>
                  <w:gridSpan w:val="4"/>
                  <w:noWrap w:val="0"/>
                  <w:vAlign w:val="center"/>
                </w:tcPr>
                <w:p>
                  <w:pPr>
                    <w:keepNext w:val="0"/>
                    <w:keepLines w:val="0"/>
                    <w:suppressLineNumbers w:val="0"/>
                    <w:shd w:val="clear" w:color="auto" w:fill="auto"/>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lang w:eastAsia="zh-CN"/>
                    </w:rPr>
                    <w:t>乌拉特前旗</w:t>
                  </w:r>
                  <w:r>
                    <w:rPr>
                      <w:rFonts w:hint="default" w:ascii="Times New Roman" w:hAnsi="Times New Roman" w:eastAsia="宋体" w:cs="Times New Roman"/>
                      <w:color w:val="auto"/>
                      <w:sz w:val="21"/>
                      <w:szCs w:val="21"/>
                      <w:highlight w:val="none"/>
                      <w:lang w:val="en-US" w:eastAsia="zh-CN"/>
                    </w:rPr>
                    <w:t>乌拉山镇乌化社区</w:t>
                  </w:r>
                  <w:r>
                    <w:rPr>
                      <w:rFonts w:hint="default" w:ascii="Times New Roman" w:hAnsi="Times New Roman" w:eastAsia="宋体" w:cs="Times New Roman"/>
                      <w:color w:val="auto"/>
                      <w:sz w:val="21"/>
                      <w:szCs w:val="21"/>
                      <w:highlight w:val="none"/>
                    </w:rPr>
                    <w:t>，项目占地范围内无生态环境保护目标</w:t>
                  </w:r>
                </w:p>
              </w:tc>
              <w:tc>
                <w:tcPr>
                  <w:tcW w:w="1865" w:type="dxa"/>
                  <w:noWrap w:val="0"/>
                  <w:vAlign w:val="center"/>
                </w:tcPr>
                <w:p>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bl>
          <w:p>
            <w:pP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污染物排放控制标准</w:t>
            </w:r>
          </w:p>
        </w:tc>
        <w:tc>
          <w:tcPr>
            <w:tcW w:w="8399" w:type="dxa"/>
            <w:vAlign w:val="center"/>
          </w:tcPr>
          <w:p>
            <w:pPr>
              <w:spacing w:line="360" w:lineRule="auto"/>
              <w:ind w:firstLine="482" w:firstLineChars="200"/>
              <w:jc w:val="left"/>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1、大气污染物排放</w:t>
            </w:r>
            <w:r>
              <w:rPr>
                <w:rFonts w:hint="default" w:ascii="Times New Roman" w:hAnsi="Times New Roman" w:eastAsia="宋体" w:cs="Times New Roman"/>
                <w:b/>
                <w:bCs/>
                <w:color w:val="auto"/>
                <w:sz w:val="24"/>
                <w:highlight w:val="none"/>
                <w:lang w:eastAsia="zh-CN"/>
              </w:rPr>
              <w:t>标准</w:t>
            </w:r>
          </w:p>
          <w:p>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1）根据《锅炉大气污染物排放标准》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GB12371-2014）中规定，</w:t>
            </w:r>
            <w:r>
              <w:rPr>
                <w:rFonts w:hint="default" w:ascii="Times New Roman" w:hAnsi="Times New Roman" w:eastAsia="宋体" w:cs="Times New Roman"/>
                <w:color w:val="auto"/>
                <w:sz w:val="24"/>
                <w:highlight w:val="none"/>
                <w:lang w:eastAsia="zh-CN"/>
              </w:rPr>
              <w:t>生物质热水锅炉</w:t>
            </w:r>
            <w:r>
              <w:rPr>
                <w:rFonts w:hint="default" w:ascii="Times New Roman" w:hAnsi="Times New Roman" w:eastAsia="宋体" w:cs="Times New Roman"/>
                <w:color w:val="auto"/>
                <w:sz w:val="24"/>
                <w:highlight w:val="none"/>
              </w:rPr>
              <w:t>参照该标准中燃煤锅炉排放控制要求执行，</w:t>
            </w:r>
            <w:r>
              <w:rPr>
                <w:rFonts w:hint="default" w:ascii="Times New Roman" w:hAnsi="Times New Roman" w:eastAsia="宋体" w:cs="Times New Roman"/>
                <w:color w:val="auto"/>
                <w:sz w:val="24"/>
                <w:highlight w:val="none"/>
                <w:lang w:eastAsia="zh-CN"/>
              </w:rPr>
              <w:t>因此，本项目新建生物质热水锅炉执行</w:t>
            </w:r>
            <w:r>
              <w:rPr>
                <w:rFonts w:hint="default" w:ascii="Times New Roman" w:hAnsi="Times New Roman" w:eastAsia="宋体" w:cs="Times New Roman"/>
                <w:color w:val="auto"/>
                <w:sz w:val="24"/>
                <w:highlight w:val="none"/>
              </w:rPr>
              <w:t>《锅炉大气污染物排放标准》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GB12371-2014）</w:t>
            </w:r>
            <w:r>
              <w:rPr>
                <w:rFonts w:hint="default" w:ascii="Times New Roman" w:hAnsi="Times New Roman" w:eastAsia="宋体" w:cs="Times New Roman"/>
                <w:color w:val="auto"/>
                <w:sz w:val="24"/>
                <w:highlight w:val="none"/>
                <w:lang w:eastAsia="zh-CN"/>
              </w:rPr>
              <w:t>表</w:t>
            </w:r>
            <w:r>
              <w:rPr>
                <w:rFonts w:hint="default" w:ascii="Times New Roman" w:hAnsi="Times New Roman" w:eastAsia="宋体" w:cs="Times New Roman"/>
                <w:color w:val="auto"/>
                <w:sz w:val="24"/>
                <w:highlight w:val="none"/>
                <w:lang w:val="en-US" w:eastAsia="zh-CN"/>
              </w:rPr>
              <w:t>2新建锅炉大气污染物排放限值中“燃煤锅炉”限值</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Cs/>
                <w:color w:val="auto"/>
                <w:sz w:val="24"/>
                <w:highlight w:val="none"/>
              </w:rPr>
              <w:t>具体见表3-</w:t>
            </w:r>
            <w:r>
              <w:rPr>
                <w:rFonts w:hint="default" w:ascii="Times New Roman" w:hAnsi="Times New Roman" w:eastAsia="宋体" w:cs="Times New Roman"/>
                <w:bCs/>
                <w:color w:val="auto"/>
                <w:sz w:val="24"/>
                <w:highlight w:val="none"/>
                <w:lang w:val="en-US" w:eastAsia="zh-CN"/>
              </w:rPr>
              <w:t>7</w:t>
            </w:r>
            <w:r>
              <w:rPr>
                <w:rFonts w:hint="default" w:ascii="Times New Roman" w:hAnsi="Times New Roman" w:eastAsia="宋体" w:cs="Times New Roman"/>
                <w:bCs/>
                <w:color w:val="auto"/>
                <w:sz w:val="24"/>
                <w:highlight w:val="none"/>
              </w:rPr>
              <w:t>。</w:t>
            </w:r>
          </w:p>
          <w:p>
            <w:pPr>
              <w:tabs>
                <w:tab w:val="left" w:pos="0"/>
              </w:tabs>
              <w:spacing w:line="360" w:lineRule="auto"/>
              <w:jc w:val="center"/>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表3-</w:t>
            </w:r>
            <w:r>
              <w:rPr>
                <w:rFonts w:hint="default" w:ascii="Times New Roman" w:hAnsi="Times New Roman" w:eastAsia="宋体" w:cs="Times New Roman"/>
                <w:b/>
                <w:color w:val="auto"/>
                <w:sz w:val="24"/>
                <w:szCs w:val="21"/>
                <w:highlight w:val="none"/>
                <w:lang w:val="en-US" w:eastAsia="zh-CN"/>
              </w:rPr>
              <w:t>7</w:t>
            </w:r>
            <w:r>
              <w:rPr>
                <w:rFonts w:hint="default" w:ascii="Times New Roman" w:hAnsi="Times New Roman" w:eastAsia="宋体" w:cs="Times New Roman"/>
                <w:b/>
                <w:color w:val="auto"/>
                <w:sz w:val="24"/>
                <w:szCs w:val="21"/>
                <w:highlight w:val="none"/>
              </w:rPr>
              <w:t xml:space="preserve">   《锅炉大气污染物排放标准》</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GB13271-2014）表2</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47"/>
              <w:gridCol w:w="2436"/>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vMerge w:val="restar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污染物项目</w:t>
                  </w:r>
                </w:p>
              </w:tc>
              <w:tc>
                <w:tcPr>
                  <w:tcW w:w="1176"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pacing w:val="0"/>
                      <w:szCs w:val="21"/>
                      <w:highlight w:val="none"/>
                    </w:rPr>
                    <w:t>限值</w:t>
                  </w:r>
                </w:p>
              </w:tc>
              <w:tc>
                <w:tcPr>
                  <w:tcW w:w="1471" w:type="pct"/>
                  <w:vMerge w:val="restar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单位</w:t>
                  </w:r>
                </w:p>
              </w:tc>
              <w:tc>
                <w:tcPr>
                  <w:tcW w:w="1176" w:type="pct"/>
                  <w:vMerge w:val="restar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vMerge w:val="continue"/>
                  <w:vAlign w:val="center"/>
                </w:tcPr>
                <w:p>
                  <w:pPr>
                    <w:jc w:val="center"/>
                    <w:rPr>
                      <w:rFonts w:hint="default" w:ascii="Times New Roman" w:hAnsi="Times New Roman" w:eastAsia="宋体" w:cs="Times New Roman"/>
                      <w:bCs/>
                      <w:color w:val="auto"/>
                      <w:spacing w:val="0"/>
                      <w:szCs w:val="21"/>
                      <w:highlight w:val="none"/>
                    </w:rPr>
                  </w:pPr>
                </w:p>
              </w:tc>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燃煤锅炉</w:t>
                  </w:r>
                </w:p>
              </w:tc>
              <w:tc>
                <w:tcPr>
                  <w:tcW w:w="1471" w:type="pct"/>
                  <w:vMerge w:val="continue"/>
                  <w:vAlign w:val="center"/>
                </w:tcPr>
                <w:p>
                  <w:pPr>
                    <w:jc w:val="center"/>
                    <w:rPr>
                      <w:rFonts w:hint="default" w:ascii="Times New Roman" w:hAnsi="Times New Roman" w:eastAsia="宋体" w:cs="Times New Roman"/>
                      <w:bCs/>
                      <w:color w:val="auto"/>
                      <w:spacing w:val="0"/>
                      <w:szCs w:val="21"/>
                      <w:highlight w:val="none"/>
                    </w:rPr>
                  </w:pPr>
                </w:p>
              </w:tc>
              <w:tc>
                <w:tcPr>
                  <w:tcW w:w="1176" w:type="pct"/>
                  <w:vMerge w:val="continue"/>
                  <w:vAlign w:val="center"/>
                </w:tcPr>
                <w:p>
                  <w:pPr>
                    <w:jc w:val="center"/>
                    <w:rPr>
                      <w:rFonts w:hint="default" w:ascii="Times New Roman" w:hAnsi="Times New Roman" w:eastAsia="宋体" w:cs="Times New Roman"/>
                      <w:bCs/>
                      <w:color w:val="auto"/>
                      <w:spacing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颗粒物</w:t>
                  </w:r>
                </w:p>
              </w:tc>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50</w:t>
                  </w:r>
                </w:p>
              </w:tc>
              <w:tc>
                <w:tcPr>
                  <w:tcW w:w="1471"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mg/m</w:t>
                  </w:r>
                  <w:r>
                    <w:rPr>
                      <w:rFonts w:hint="default" w:ascii="Times New Roman" w:hAnsi="Times New Roman" w:eastAsia="宋体" w:cs="Times New Roman"/>
                      <w:bCs/>
                      <w:color w:val="auto"/>
                      <w:spacing w:val="0"/>
                      <w:szCs w:val="21"/>
                      <w:highlight w:val="none"/>
                      <w:vertAlign w:val="superscript"/>
                    </w:rPr>
                    <w:t>3</w:t>
                  </w:r>
                </w:p>
              </w:tc>
              <w:tc>
                <w:tcPr>
                  <w:tcW w:w="1176" w:type="pct"/>
                  <w:vMerge w:val="restart"/>
                  <w:vAlign w:val="center"/>
                </w:tcPr>
                <w:p>
                  <w:pPr>
                    <w:jc w:val="center"/>
                    <w:rPr>
                      <w:rFonts w:hint="default" w:ascii="Times New Roman" w:hAnsi="Times New Roman" w:eastAsia="宋体" w:cs="Times New Roman"/>
                      <w:bCs/>
                      <w:color w:val="auto"/>
                      <w:spacing w:val="0"/>
                      <w:szCs w:val="21"/>
                      <w:highlight w:val="none"/>
                      <w:lang w:eastAsia="zh-CN"/>
                    </w:rPr>
                  </w:pPr>
                  <w:r>
                    <w:rPr>
                      <w:rFonts w:hint="default" w:ascii="Times New Roman" w:hAnsi="Times New Roman" w:eastAsia="宋体" w:cs="Times New Roman"/>
                      <w:bCs/>
                      <w:color w:val="auto"/>
                      <w:spacing w:val="0"/>
                      <w:szCs w:val="21"/>
                      <w:highlight w:val="none"/>
                    </w:rPr>
                    <w:t>烟囱</w:t>
                  </w:r>
                  <w:r>
                    <w:rPr>
                      <w:rFonts w:hint="default" w:ascii="Times New Roman" w:hAnsi="Times New Roman" w:eastAsia="宋体" w:cs="Times New Roman"/>
                      <w:bCs/>
                      <w:color w:val="auto"/>
                      <w:spacing w:val="0"/>
                      <w:szCs w:val="21"/>
                      <w:highlight w:val="none"/>
                      <w:lang w:eastAsia="zh-CN"/>
                    </w:rPr>
                    <w:t>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二氧化硫</w:t>
                  </w:r>
                </w:p>
              </w:tc>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300</w:t>
                  </w:r>
                </w:p>
              </w:tc>
              <w:tc>
                <w:tcPr>
                  <w:tcW w:w="1471"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mg/m</w:t>
                  </w:r>
                  <w:r>
                    <w:rPr>
                      <w:rFonts w:hint="default" w:ascii="Times New Roman" w:hAnsi="Times New Roman" w:eastAsia="宋体" w:cs="Times New Roman"/>
                      <w:bCs/>
                      <w:color w:val="auto"/>
                      <w:spacing w:val="0"/>
                      <w:szCs w:val="21"/>
                      <w:highlight w:val="none"/>
                      <w:vertAlign w:val="superscript"/>
                    </w:rPr>
                    <w:t>3</w:t>
                  </w:r>
                </w:p>
              </w:tc>
              <w:tc>
                <w:tcPr>
                  <w:tcW w:w="1176" w:type="pct"/>
                  <w:vMerge w:val="continue"/>
                  <w:vAlign w:val="center"/>
                </w:tcPr>
                <w:p>
                  <w:pPr>
                    <w:jc w:val="center"/>
                    <w:rPr>
                      <w:rFonts w:hint="default" w:ascii="Times New Roman" w:hAnsi="Times New Roman" w:eastAsia="宋体" w:cs="Times New Roman"/>
                      <w:bCs/>
                      <w:color w:val="auto"/>
                      <w:spacing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氮氧化物</w:t>
                  </w:r>
                </w:p>
              </w:tc>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300</w:t>
                  </w:r>
                </w:p>
              </w:tc>
              <w:tc>
                <w:tcPr>
                  <w:tcW w:w="1471"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mg/m</w:t>
                  </w:r>
                  <w:r>
                    <w:rPr>
                      <w:rFonts w:hint="default" w:ascii="Times New Roman" w:hAnsi="Times New Roman" w:eastAsia="宋体" w:cs="Times New Roman"/>
                      <w:bCs/>
                      <w:color w:val="auto"/>
                      <w:spacing w:val="0"/>
                      <w:szCs w:val="21"/>
                      <w:highlight w:val="none"/>
                      <w:vertAlign w:val="superscript"/>
                    </w:rPr>
                    <w:t>3</w:t>
                  </w:r>
                </w:p>
              </w:tc>
              <w:tc>
                <w:tcPr>
                  <w:tcW w:w="1176" w:type="pct"/>
                  <w:vMerge w:val="continue"/>
                  <w:vAlign w:val="center"/>
                </w:tcPr>
                <w:p>
                  <w:pPr>
                    <w:jc w:val="center"/>
                    <w:rPr>
                      <w:rFonts w:hint="default" w:ascii="Times New Roman" w:hAnsi="Times New Roman" w:eastAsia="宋体" w:cs="Times New Roman"/>
                      <w:bCs/>
                      <w:color w:val="auto"/>
                      <w:spacing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color w:val="auto"/>
                      <w:szCs w:val="21"/>
                      <w:highlight w:val="none"/>
                    </w:rPr>
                    <w:t>汞及其化合物</w:t>
                  </w:r>
                </w:p>
              </w:tc>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0.05</w:t>
                  </w:r>
                </w:p>
              </w:tc>
              <w:tc>
                <w:tcPr>
                  <w:tcW w:w="1471"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mg/m</w:t>
                  </w:r>
                  <w:r>
                    <w:rPr>
                      <w:rFonts w:hint="default" w:ascii="Times New Roman" w:hAnsi="Times New Roman" w:eastAsia="宋体" w:cs="Times New Roman"/>
                      <w:bCs/>
                      <w:color w:val="auto"/>
                      <w:spacing w:val="0"/>
                      <w:szCs w:val="21"/>
                      <w:highlight w:val="none"/>
                      <w:vertAlign w:val="superscript"/>
                    </w:rPr>
                    <w:t>3</w:t>
                  </w:r>
                </w:p>
              </w:tc>
              <w:tc>
                <w:tcPr>
                  <w:tcW w:w="1176" w:type="pct"/>
                  <w:vMerge w:val="continue"/>
                  <w:vAlign w:val="center"/>
                </w:tcPr>
                <w:p>
                  <w:pPr>
                    <w:jc w:val="center"/>
                    <w:rPr>
                      <w:rFonts w:hint="default" w:ascii="Times New Roman" w:hAnsi="Times New Roman" w:eastAsia="宋体" w:cs="Times New Roman"/>
                      <w:bCs/>
                      <w:color w:val="auto"/>
                      <w:spacing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烟气黑度</w:t>
                  </w:r>
                </w:p>
              </w:tc>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≤1</w:t>
                  </w:r>
                </w:p>
              </w:tc>
              <w:tc>
                <w:tcPr>
                  <w:tcW w:w="1471"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lang w:eastAsia="zh-CN"/>
                    </w:rPr>
                    <w:t>（</w:t>
                  </w:r>
                  <w:r>
                    <w:rPr>
                      <w:rFonts w:hint="default" w:ascii="Times New Roman" w:hAnsi="Times New Roman" w:eastAsia="宋体" w:cs="Times New Roman"/>
                      <w:bCs/>
                      <w:color w:val="auto"/>
                      <w:spacing w:val="0"/>
                      <w:szCs w:val="21"/>
                      <w:highlight w:val="none"/>
                    </w:rPr>
                    <w:t>林格曼黑度，级）</w:t>
                  </w:r>
                </w:p>
              </w:tc>
              <w:tc>
                <w:tcPr>
                  <w:tcW w:w="1176" w:type="pct"/>
                  <w:vAlign w:val="center"/>
                </w:tcPr>
                <w:p>
                  <w:pPr>
                    <w:jc w:val="center"/>
                    <w:rPr>
                      <w:rFonts w:hint="default" w:ascii="Times New Roman" w:hAnsi="Times New Roman" w:eastAsia="宋体" w:cs="Times New Roman"/>
                      <w:bCs/>
                      <w:color w:val="auto"/>
                      <w:spacing w:val="0"/>
                      <w:szCs w:val="21"/>
                      <w:highlight w:val="none"/>
                    </w:rPr>
                  </w:pPr>
                  <w:r>
                    <w:rPr>
                      <w:rFonts w:hint="default" w:ascii="Times New Roman" w:hAnsi="Times New Roman" w:eastAsia="宋体" w:cs="Times New Roman"/>
                      <w:bCs/>
                      <w:color w:val="auto"/>
                      <w:spacing w:val="0"/>
                      <w:szCs w:val="21"/>
                      <w:highlight w:val="none"/>
                    </w:rPr>
                    <w:t>烟囱排放口</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根据《锅炉大气污染物排放标准》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GB13271-2014），</w:t>
            </w:r>
            <w:r>
              <w:rPr>
                <w:rFonts w:hint="default" w:ascii="Times New Roman" w:hAnsi="Times New Roman" w:eastAsia="宋体" w:cs="Times New Roman"/>
                <w:color w:val="auto"/>
                <w:sz w:val="24"/>
                <w:highlight w:val="none"/>
                <w:lang w:val="en-US" w:eastAsia="zh-CN"/>
              </w:rPr>
              <w:t>本项目设置1台</w:t>
            </w:r>
            <w:r>
              <w:rPr>
                <w:rFonts w:hint="eastAsia" w:ascii="Times New Roman" w:hAnsi="Times New Roman" w:eastAsia="宋体" w:cs="Times New Roman"/>
                <w:color w:val="auto"/>
                <w:sz w:val="24"/>
                <w:highlight w:val="none"/>
                <w:lang w:val="en-US" w:eastAsia="zh-CN"/>
              </w:rPr>
              <w:t>7MW</w:t>
            </w:r>
            <w:r>
              <w:rPr>
                <w:rFonts w:hint="default" w:ascii="Times New Roman" w:hAnsi="Times New Roman" w:eastAsia="宋体" w:cs="Times New Roman"/>
                <w:color w:val="auto"/>
                <w:sz w:val="24"/>
                <w:highlight w:val="none"/>
                <w:lang w:val="en-US" w:eastAsia="zh-CN"/>
              </w:rPr>
              <w:t>生物质热水锅炉，</w:t>
            </w:r>
            <w:r>
              <w:rPr>
                <w:rFonts w:hint="default" w:ascii="Times New Roman" w:hAnsi="Times New Roman" w:eastAsia="宋体" w:cs="Times New Roman"/>
                <w:color w:val="auto"/>
                <w:sz w:val="24"/>
                <w:highlight w:val="none"/>
              </w:rPr>
              <w:t>锅炉排气筒最低允许高度见表</w:t>
            </w:r>
            <w:r>
              <w:rPr>
                <w:rFonts w:hint="default" w:ascii="Times New Roman" w:hAnsi="Times New Roman" w:eastAsia="宋体" w:cs="Times New Roman"/>
                <w:color w:val="auto"/>
                <w:sz w:val="24"/>
                <w:highlight w:val="none"/>
                <w:lang w:val="en-US" w:eastAsia="zh-CN"/>
              </w:rPr>
              <w:t>3-8</w:t>
            </w:r>
            <w:r>
              <w:rPr>
                <w:rFonts w:hint="default" w:ascii="Times New Roman" w:hAnsi="Times New Roman" w:eastAsia="宋体" w:cs="Times New Roman"/>
                <w:color w:val="auto"/>
                <w:sz w:val="24"/>
                <w:highlight w:val="none"/>
              </w:rPr>
              <w:t>。</w:t>
            </w:r>
          </w:p>
          <w:p>
            <w:pPr>
              <w:adjustRightInd w:val="0"/>
              <w:snapToGrid w:val="0"/>
              <w:spacing w:line="360" w:lineRule="auto"/>
              <w:jc w:val="center"/>
              <w:rPr>
                <w:rFonts w:hint="default" w:ascii="Times New Roman" w:hAnsi="Times New Roman" w:eastAsia="宋体" w:cs="Times New Roman"/>
                <w:b/>
                <w:color w:val="auto"/>
                <w:sz w:val="24"/>
                <w:highlight w:val="none"/>
              </w:rPr>
            </w:pPr>
          </w:p>
          <w:p>
            <w:pPr>
              <w:adjustRightInd w:val="0"/>
              <w:snapToGrid w:val="0"/>
              <w:spacing w:line="360" w:lineRule="auto"/>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 xml:space="preserve"> 燃煤锅炉房烟囱最低允许高度</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2"/>
              <w:gridCol w:w="738"/>
              <w:gridCol w:w="922"/>
              <w:gridCol w:w="1158"/>
              <w:gridCol w:w="1093"/>
              <w:gridCol w:w="1084"/>
              <w:gridCol w:w="1085"/>
              <w:gridCol w:w="10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vMerge w:val="restart"/>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锅炉房装机总容量</w:t>
                  </w:r>
                </w:p>
              </w:tc>
              <w:tc>
                <w:tcPr>
                  <w:tcW w:w="750"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w:t>
                  </w:r>
                </w:p>
              </w:tc>
              <w:tc>
                <w:tcPr>
                  <w:tcW w:w="938"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＜0.7</w:t>
                  </w:r>
                </w:p>
              </w:tc>
              <w:tc>
                <w:tcPr>
                  <w:tcW w:w="1179"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0.7～＜1.4</w:t>
                  </w:r>
                </w:p>
              </w:tc>
              <w:tc>
                <w:tcPr>
                  <w:tcW w:w="1113"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1.4～＜2.8</w:t>
                  </w:r>
                </w:p>
              </w:tc>
              <w:tc>
                <w:tcPr>
                  <w:tcW w:w="1104"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2.8～＜7</w:t>
                  </w:r>
                </w:p>
              </w:tc>
              <w:tc>
                <w:tcPr>
                  <w:tcW w:w="1104" w:type="dxa"/>
                  <w:noWrap w:val="0"/>
                  <w:vAlign w:val="center"/>
                </w:tcPr>
                <w:p>
                  <w:pPr>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7～＜14</w:t>
                  </w:r>
                </w:p>
              </w:tc>
              <w:tc>
                <w:tcPr>
                  <w:tcW w:w="1104"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6" w:type="dxa"/>
                  <w:vMerge w:val="continue"/>
                  <w:noWrap w:val="0"/>
                  <w:vAlign w:val="center"/>
                </w:tcPr>
                <w:p>
                  <w:pPr>
                    <w:widowControl/>
                    <w:jc w:val="left"/>
                    <w:rPr>
                      <w:rFonts w:hint="default" w:ascii="Times New Roman" w:hAnsi="Times New Roman" w:eastAsia="宋体" w:cs="Times New Roman"/>
                      <w:color w:val="auto"/>
                      <w:highlight w:val="none"/>
                    </w:rPr>
                  </w:pPr>
                </w:p>
              </w:tc>
              <w:tc>
                <w:tcPr>
                  <w:tcW w:w="750"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t/h</w:t>
                  </w:r>
                </w:p>
              </w:tc>
              <w:tc>
                <w:tcPr>
                  <w:tcW w:w="938"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179"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w:t>
                  </w:r>
                </w:p>
              </w:tc>
              <w:tc>
                <w:tcPr>
                  <w:tcW w:w="1113"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w:t>
                  </w:r>
                </w:p>
              </w:tc>
              <w:tc>
                <w:tcPr>
                  <w:tcW w:w="1104"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4～＜10</w:t>
                  </w:r>
                </w:p>
              </w:tc>
              <w:tc>
                <w:tcPr>
                  <w:tcW w:w="1104" w:type="dxa"/>
                  <w:noWrap w:val="0"/>
                  <w:vAlign w:val="center"/>
                </w:tcPr>
                <w:p>
                  <w:pPr>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10～＜20</w:t>
                  </w:r>
                </w:p>
              </w:tc>
              <w:tc>
                <w:tcPr>
                  <w:tcW w:w="1104"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2"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烟囱最低允许高度</w:t>
                  </w:r>
                </w:p>
              </w:tc>
              <w:tc>
                <w:tcPr>
                  <w:tcW w:w="750"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w:t>
                  </w:r>
                </w:p>
              </w:tc>
              <w:tc>
                <w:tcPr>
                  <w:tcW w:w="938"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1179"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w:t>
                  </w:r>
                </w:p>
              </w:tc>
              <w:tc>
                <w:tcPr>
                  <w:tcW w:w="1113"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1104"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1104" w:type="dxa"/>
                  <w:noWrap w:val="0"/>
                  <w:vAlign w:val="center"/>
                </w:tcPr>
                <w:p>
                  <w:pPr>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40</w:t>
                  </w:r>
                </w:p>
              </w:tc>
              <w:tc>
                <w:tcPr>
                  <w:tcW w:w="1104" w:type="dxa"/>
                  <w:noWrap w:val="0"/>
                  <w:vAlign w:val="center"/>
                </w:tcPr>
                <w:p>
                  <w:pPr>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）运营期灰渣卸载</w:t>
            </w:r>
            <w:r>
              <w:rPr>
                <w:rFonts w:hint="default" w:ascii="Times New Roman" w:hAnsi="Times New Roman" w:eastAsia="宋体" w:cs="Times New Roman"/>
                <w:color w:val="auto"/>
                <w:sz w:val="24"/>
                <w:highlight w:val="none"/>
                <w:lang w:eastAsia="zh-CN"/>
              </w:rPr>
              <w:t>、储存</w:t>
            </w:r>
            <w:r>
              <w:rPr>
                <w:rFonts w:hint="default" w:ascii="Times New Roman" w:hAnsi="Times New Roman" w:eastAsia="宋体" w:cs="Times New Roman"/>
                <w:color w:val="auto"/>
                <w:sz w:val="24"/>
                <w:highlight w:val="none"/>
              </w:rPr>
              <w:t>过程中产生的颗粒物排放执行《大气污染物综合排放标准》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GB16297-1996）表2新污染源大气污染物排放限值中“无组织排放监控浓度限值”，具体标准详见表3-</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pPr>
              <w:spacing w:line="360" w:lineRule="auto"/>
              <w:ind w:firstLine="482" w:firstLineChars="20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default" w:ascii="Times New Roman" w:hAnsi="Times New Roman" w:eastAsia="宋体" w:cs="Times New Roman"/>
                <w:b/>
                <w:color w:val="auto"/>
                <w:sz w:val="24"/>
                <w:highlight w:val="none"/>
                <w:lang w:val="en-US" w:eastAsia="zh-CN"/>
              </w:rPr>
              <w:t>9</w:t>
            </w:r>
            <w:r>
              <w:rPr>
                <w:rFonts w:hint="default" w:ascii="Times New Roman" w:hAnsi="Times New Roman" w:eastAsia="宋体" w:cs="Times New Roman"/>
                <w:b/>
                <w:color w:val="auto"/>
                <w:sz w:val="24"/>
                <w:highlight w:val="none"/>
              </w:rPr>
              <w:t xml:space="preserve">   《大气污染物综合排放标准》</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GB16297-1996）</w:t>
            </w:r>
          </w:p>
          <w:tbl>
            <w:tblPr>
              <w:tblStyle w:val="22"/>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05"/>
              <w:gridCol w:w="3656"/>
              <w:gridCol w:w="2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14" w:type="dxa"/>
                  <w:vMerge w:val="restart"/>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w:t>
                  </w:r>
                </w:p>
              </w:tc>
              <w:tc>
                <w:tcPr>
                  <w:tcW w:w="5823" w:type="dxa"/>
                  <w:gridSpan w:val="2"/>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14" w:type="dxa"/>
                  <w:vMerge w:val="continue"/>
                  <w:tcMar>
                    <w:left w:w="28" w:type="dxa"/>
                    <w:right w:w="28" w:type="dxa"/>
                  </w:tcMar>
                  <w:vAlign w:val="center"/>
                </w:tcPr>
                <w:p>
                  <w:pPr>
                    <w:jc w:val="center"/>
                    <w:rPr>
                      <w:rFonts w:hint="default" w:ascii="Times New Roman" w:hAnsi="Times New Roman" w:eastAsia="宋体" w:cs="Times New Roman"/>
                      <w:color w:val="auto"/>
                      <w:szCs w:val="21"/>
                      <w:highlight w:val="none"/>
                    </w:rPr>
                  </w:pPr>
                </w:p>
              </w:tc>
              <w:tc>
                <w:tcPr>
                  <w:tcW w:w="3506"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监控点</w:t>
                  </w:r>
                </w:p>
              </w:tc>
              <w:tc>
                <w:tcPr>
                  <w:tcW w:w="2317" w:type="dxa"/>
                  <w:tcMar>
                    <w:left w:w="28" w:type="dxa"/>
                    <w:right w:w="28" w:type="dxa"/>
                  </w:tcMar>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浓度</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14"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颗粒物</w:t>
                  </w:r>
                </w:p>
              </w:tc>
              <w:tc>
                <w:tcPr>
                  <w:tcW w:w="3506"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周围外浓度最高点</w:t>
                  </w:r>
                </w:p>
              </w:tc>
              <w:tc>
                <w:tcPr>
                  <w:tcW w:w="2317"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r>
          </w:tbl>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2、噪声排放标准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本项目运营期噪声主要为生产设备运行噪声，厂界四周噪声值执行《工业企业厂界环境噪声排放标准》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GB12348-2008）表1工业企业厂界环境噪声排放限值，标准值见表3-</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w:t>
            </w:r>
          </w:p>
          <w:p>
            <w:pPr>
              <w:spacing w:line="360" w:lineRule="auto"/>
              <w:ind w:firstLine="48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default" w:ascii="Times New Roman" w:hAnsi="Times New Roman" w:eastAsia="宋体" w:cs="Times New Roman"/>
                <w:b/>
                <w:bCs/>
                <w:color w:val="auto"/>
                <w:sz w:val="24"/>
                <w:highlight w:val="none"/>
                <w:lang w:val="en-US" w:eastAsia="zh-CN"/>
              </w:rPr>
              <w:t>10</w:t>
            </w:r>
            <w:r>
              <w:rPr>
                <w:rFonts w:hint="default" w:ascii="Times New Roman" w:hAnsi="Times New Roman" w:eastAsia="宋体" w:cs="Times New Roman"/>
                <w:b/>
                <w:bCs/>
                <w:color w:val="auto"/>
                <w:sz w:val="24"/>
                <w:highlight w:val="none"/>
              </w:rPr>
              <w:t xml:space="preserve">   《工业企业厂界环境噪声排放标准》</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GB12348-2008）</w:t>
            </w:r>
          </w:p>
          <w:tbl>
            <w:tblPr>
              <w:tblStyle w:val="22"/>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01"/>
              <w:gridCol w:w="2398"/>
              <w:gridCol w:w="28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5"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类别</w:t>
                  </w:r>
                </w:p>
              </w:tc>
              <w:tc>
                <w:tcPr>
                  <w:tcW w:w="2234"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2681"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5"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2类声环境功能区</w:t>
                  </w:r>
                </w:p>
              </w:tc>
              <w:tc>
                <w:tcPr>
                  <w:tcW w:w="2234" w:type="dxa"/>
                  <w:tcMar>
                    <w:left w:w="28" w:type="dxa"/>
                    <w:right w:w="28" w:type="dxa"/>
                  </w:tcMar>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60dB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681" w:type="dxa"/>
                  <w:tcMar>
                    <w:left w:w="28" w:type="dxa"/>
                    <w:right w:w="28" w:type="dxa"/>
                  </w:tcMar>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50dB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r>
          </w:tbl>
          <w:p>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3、固体废物控制标准</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一般固体废物执行《一般工业固体废物贮存和填埋污染控制标准》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 18599-2020）中相关规定。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总量控制指标</w:t>
            </w:r>
          </w:p>
        </w:tc>
        <w:tc>
          <w:tcPr>
            <w:tcW w:w="8399" w:type="dxa"/>
            <w:vAlign w:val="center"/>
          </w:tcPr>
          <w:p>
            <w:pPr>
              <w:pStyle w:val="2"/>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）二氧化硫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rPr>
              <w:t>根据《排放源统计调查产排污核算方法和系数手册》（公告2021年第24号）--4430工业锅炉（热力供应）行业系数手册--生物质工业锅炉，二氧化硫产污系数按17S千克/吨-原料，本项目S为0.07。</w:t>
            </w:r>
            <w:r>
              <w:rPr>
                <w:rFonts w:hint="default" w:ascii="Times New Roman" w:hAnsi="Times New Roman" w:eastAsia="宋体" w:cs="Times New Roman"/>
                <w:color w:val="auto"/>
                <w:kern w:val="0"/>
                <w:sz w:val="24"/>
                <w:szCs w:val="24"/>
                <w:highlight w:val="none"/>
              </w:rPr>
              <w:t>生物质成型燃料</w:t>
            </w:r>
            <w:r>
              <w:rPr>
                <w:rFonts w:hint="default" w:ascii="Times New Roman" w:hAnsi="Times New Roman" w:eastAsia="宋体" w:cs="Times New Roman"/>
                <w:color w:val="auto"/>
                <w:sz w:val="24"/>
                <w:szCs w:val="24"/>
                <w:highlight w:val="none"/>
              </w:rPr>
              <w:t>消耗量为</w:t>
            </w:r>
            <w:r>
              <w:rPr>
                <w:rFonts w:hint="default" w:ascii="Times New Roman" w:hAnsi="Times New Roman" w:eastAsia="宋体" w:cs="Times New Roman"/>
                <w:color w:val="auto"/>
                <w:sz w:val="24"/>
                <w:szCs w:val="24"/>
                <w:highlight w:val="none"/>
                <w:lang w:val="en-US" w:eastAsia="zh-CN"/>
              </w:rPr>
              <w:t>1640</w:t>
            </w:r>
            <w:r>
              <w:rPr>
                <w:rFonts w:hint="default" w:ascii="Times New Roman" w:hAnsi="Times New Roman" w:eastAsia="宋体" w:cs="Times New Roman"/>
                <w:color w:val="auto"/>
                <w:sz w:val="24"/>
                <w:szCs w:val="24"/>
                <w:highlight w:val="none"/>
              </w:rPr>
              <w:t>t/a，则1台</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b w:val="0"/>
                <w:bCs w:val="0"/>
                <w:color w:val="auto"/>
                <w:kern w:val="0"/>
                <w:sz w:val="24"/>
                <w:szCs w:val="24"/>
                <w:highlight w:val="none"/>
                <w:lang w:val="en-US" w:eastAsia="zh-CN"/>
              </w:rPr>
              <w:t>二氧化硫产生量为1640t/a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kern w:val="0"/>
                <w:sz w:val="24"/>
                <w:szCs w:val="24"/>
                <w:highlight w:val="none"/>
                <w:lang w:val="en-US" w:eastAsia="zh-CN"/>
              </w:rPr>
              <w:t>17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0.07</w:t>
            </w:r>
            <w:r>
              <w:rPr>
                <w:rFonts w:hint="default" w:ascii="Times New Roman" w:hAnsi="Times New Roman" w:eastAsia="宋体" w:cs="Times New Roman"/>
                <w:b w:val="0"/>
                <w:bCs w:val="0"/>
                <w:color w:val="auto"/>
                <w:kern w:val="0"/>
                <w:sz w:val="24"/>
                <w:szCs w:val="24"/>
                <w:highlight w:val="none"/>
                <w:lang w:val="en-US" w:eastAsia="zh-CN"/>
              </w:rPr>
              <w:t>千克/吨-原料=1.95</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b w:val="0"/>
                <w:bCs w:val="0"/>
                <w:color w:val="auto"/>
                <w:kern w:val="0"/>
                <w:sz w:val="24"/>
                <w:szCs w:val="24"/>
                <w:highlight w:val="none"/>
                <w:lang w:val="en-US" w:eastAsia="zh-CN"/>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废气采用多管旋风除尘器+布袋除尘器+钠碱法脱硫塔进行处理，参考《排放源统计调查产排污核算方法和系数手册》（公告2021年第24号）-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，钠碱法脱硫效率为92.5%</w:t>
            </w:r>
            <w:r>
              <w:rPr>
                <w:rFonts w:hint="default" w:ascii="Times New Roman" w:hAnsi="Times New Roman" w:eastAsia="宋体" w:cs="Times New Roman"/>
                <w:color w:val="auto"/>
                <w:sz w:val="24"/>
                <w:szCs w:val="24"/>
                <w:lang w:val="en-US" w:eastAsia="zh-CN"/>
              </w:rPr>
              <w:t>（本次评价取80%）。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则1台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lang w:val="en-US" w:eastAsia="zh-CN"/>
              </w:rPr>
              <w:t>生物质热水锅炉二氧化硫</w:t>
            </w:r>
            <w:r>
              <w:rPr>
                <w:rFonts w:hint="default" w:ascii="Times New Roman" w:hAnsi="Times New Roman" w:eastAsia="宋体" w:cs="Times New Roman"/>
                <w:color w:val="auto"/>
                <w:sz w:val="24"/>
                <w:szCs w:val="24"/>
              </w:rPr>
              <w:t>排放量</w:t>
            </w:r>
            <w:r>
              <w:rPr>
                <w:rFonts w:hint="default" w:ascii="Times New Roman" w:hAnsi="Times New Roman" w:eastAsia="宋体" w:cs="Times New Roman"/>
                <w:color w:val="auto"/>
                <w:sz w:val="24"/>
                <w:szCs w:val="24"/>
                <w:lang w:val="en-US" w:eastAsia="zh-CN"/>
              </w:rPr>
              <w:t>为0.39t/a</w:t>
            </w:r>
            <w:r>
              <w:rPr>
                <w:rFonts w:hint="default" w:ascii="Times New Roman" w:hAnsi="Times New Roman" w:eastAsia="宋体" w:cs="Times New Roman"/>
                <w:color w:val="auto"/>
                <w:sz w:val="24"/>
                <w:szCs w:val="24"/>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）氮氧化物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根据《排放源统计调查产排污核算方法和系数手册》（公告2021年第24号）--4430工业锅炉（热力供应）行业系数手册--生物质工业锅炉，</w:t>
            </w:r>
            <w:r>
              <w:rPr>
                <w:rFonts w:hint="default" w:ascii="Times New Roman" w:hAnsi="Times New Roman" w:eastAsia="宋体" w:cs="Times New Roman"/>
                <w:b w:val="0"/>
                <w:bCs w:val="0"/>
                <w:color w:val="auto"/>
                <w:sz w:val="24"/>
                <w:szCs w:val="24"/>
                <w:highlight w:val="none"/>
              </w:rPr>
              <w:t>氮氧化物</w:t>
            </w:r>
            <w:r>
              <w:rPr>
                <w:rFonts w:hint="default" w:ascii="Times New Roman" w:hAnsi="Times New Roman" w:eastAsia="宋体" w:cs="Times New Roman"/>
                <w:b w:val="0"/>
                <w:bCs w:val="0"/>
                <w:color w:val="auto"/>
                <w:kern w:val="0"/>
                <w:sz w:val="24"/>
                <w:szCs w:val="24"/>
                <w:highlight w:val="none"/>
                <w:lang w:val="en-US" w:eastAsia="zh-CN"/>
              </w:rPr>
              <w:t>产污系数按1.02千克/吨-原料。</w:t>
            </w:r>
            <w:r>
              <w:rPr>
                <w:rFonts w:hint="default" w:ascii="Times New Roman" w:hAnsi="Times New Roman" w:eastAsia="宋体" w:cs="Times New Roman"/>
                <w:color w:val="auto"/>
                <w:kern w:val="0"/>
                <w:sz w:val="24"/>
                <w:szCs w:val="24"/>
                <w:highlight w:val="none"/>
              </w:rPr>
              <w:t>生物质成型燃料</w:t>
            </w:r>
            <w:r>
              <w:rPr>
                <w:rFonts w:hint="default" w:ascii="Times New Roman" w:hAnsi="Times New Roman" w:eastAsia="宋体" w:cs="Times New Roman"/>
                <w:color w:val="auto"/>
                <w:sz w:val="24"/>
                <w:szCs w:val="24"/>
                <w:highlight w:val="none"/>
              </w:rPr>
              <w:t>消耗量为</w:t>
            </w:r>
            <w:r>
              <w:rPr>
                <w:rFonts w:hint="default" w:ascii="Times New Roman" w:hAnsi="Times New Roman" w:eastAsia="宋体" w:cs="Times New Roman"/>
                <w:color w:val="auto"/>
                <w:sz w:val="24"/>
                <w:szCs w:val="24"/>
                <w:lang w:val="en-US" w:eastAsia="zh-CN"/>
              </w:rPr>
              <w:t>1640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则1台</w:t>
            </w:r>
            <w:r>
              <w:rPr>
                <w:rFonts w:hint="eastAsia" w:ascii="Times New Roman" w:hAnsi="Times New Roman" w:eastAsia="宋体" w:cs="Times New Roman"/>
                <w:b w:val="0"/>
                <w:bCs w:val="0"/>
                <w:color w:val="auto"/>
                <w:kern w:val="0"/>
                <w:sz w:val="24"/>
                <w:szCs w:val="24"/>
                <w:highlight w:val="none"/>
                <w:lang w:val="en-US" w:eastAsia="zh-CN"/>
              </w:rPr>
              <w:t>7MW</w:t>
            </w:r>
            <w:r>
              <w:rPr>
                <w:rFonts w:hint="default" w:ascii="Times New Roman" w:hAnsi="Times New Roman" w:eastAsia="宋体" w:cs="Times New Roman"/>
                <w:b w:val="0"/>
                <w:bCs w:val="0"/>
                <w:color w:val="auto"/>
                <w:kern w:val="0"/>
                <w:sz w:val="24"/>
                <w:szCs w:val="24"/>
                <w:highlight w:val="none"/>
                <w:lang w:val="en-US" w:eastAsia="zh-CN"/>
              </w:rPr>
              <w:t>生物质热水锅炉</w:t>
            </w:r>
            <w:r>
              <w:rPr>
                <w:rFonts w:hint="default" w:ascii="Times New Roman" w:hAnsi="Times New Roman" w:eastAsia="宋体" w:cs="Times New Roman"/>
                <w:b w:val="0"/>
                <w:bCs w:val="0"/>
                <w:color w:val="auto"/>
                <w:sz w:val="24"/>
                <w:szCs w:val="24"/>
                <w:highlight w:val="none"/>
              </w:rPr>
              <w:t>氮氧化物</w:t>
            </w:r>
            <w:r>
              <w:rPr>
                <w:rFonts w:hint="default" w:ascii="Times New Roman" w:hAnsi="Times New Roman" w:eastAsia="宋体" w:cs="Times New Roman"/>
                <w:b w:val="0"/>
                <w:bCs w:val="0"/>
                <w:color w:val="auto"/>
                <w:kern w:val="0"/>
                <w:sz w:val="24"/>
                <w:szCs w:val="24"/>
                <w:highlight w:val="none"/>
                <w:lang w:val="en-US" w:eastAsia="zh-CN"/>
              </w:rPr>
              <w:t>产生量为</w:t>
            </w:r>
            <w:r>
              <w:rPr>
                <w:rFonts w:hint="default" w:ascii="Times New Roman" w:hAnsi="Times New Roman" w:eastAsia="宋体" w:cs="Times New Roman"/>
                <w:color w:val="auto"/>
                <w:sz w:val="24"/>
                <w:szCs w:val="24"/>
                <w:lang w:val="en-US" w:eastAsia="zh-CN"/>
              </w:rPr>
              <w:t>1640</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kern w:val="0"/>
                <w:sz w:val="24"/>
                <w:szCs w:val="24"/>
                <w:highlight w:val="none"/>
                <w:lang w:val="en-US" w:eastAsia="zh-CN"/>
              </w:rPr>
              <w:t>1.02千克/吨-原料=1.67</w:t>
            </w:r>
            <w:r>
              <w:rPr>
                <w:rFonts w:hint="default" w:ascii="Times New Roman" w:hAnsi="Times New Roman" w:eastAsia="宋体" w:cs="Times New Roman"/>
                <w:b w:val="0"/>
                <w:bCs w:val="0"/>
                <w:color w:val="auto"/>
                <w:sz w:val="24"/>
                <w:szCs w:val="24"/>
                <w:highlight w:val="none"/>
                <w:lang w:val="en-US" w:eastAsia="zh-CN"/>
              </w:rPr>
              <w:t>t/a。</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lang w:val="en-US" w:eastAsia="zh-CN"/>
              </w:rPr>
              <w:t>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lang w:val="en-US" w:eastAsia="zh-CN"/>
              </w:rPr>
              <w:t>生物质热水锅炉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排放量为</w:t>
            </w:r>
            <w:r>
              <w:rPr>
                <w:rFonts w:hint="default" w:ascii="Times New Roman" w:hAnsi="Times New Roman" w:eastAsia="宋体" w:cs="Times New Roman"/>
                <w:b w:val="0"/>
                <w:bCs w:val="0"/>
                <w:color w:val="auto"/>
                <w:kern w:val="0"/>
                <w:sz w:val="24"/>
                <w:szCs w:val="24"/>
                <w:highlight w:val="none"/>
                <w:lang w:val="en-US" w:eastAsia="zh-CN"/>
              </w:rPr>
              <w:t>1.67</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highlight w:val="none"/>
                <w:lang w:bidi="ar"/>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eastAsia="zh-CN" w:bidi="ar"/>
              </w:rPr>
              <w:t>通过核算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本项目申请SO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lang w:eastAsia="zh-CN"/>
              </w:rPr>
              <w:t>控制总</w:t>
            </w:r>
            <w:r>
              <w:rPr>
                <w:rFonts w:hint="default"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lang w:val="en-US" w:eastAsia="zh-CN"/>
              </w:rPr>
              <w:t>0.39</w:t>
            </w:r>
            <w:r>
              <w:rPr>
                <w:rFonts w:hint="default" w:ascii="Times New Roman" w:hAnsi="Times New Roman" w:eastAsia="宋体" w:cs="Times New Roman"/>
                <w:color w:val="auto"/>
                <w:sz w:val="24"/>
                <w:szCs w:val="24"/>
                <w:highlight w:val="none"/>
              </w:rPr>
              <w:t>t/a、NO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控制总量</w:t>
            </w:r>
            <w:r>
              <w:rPr>
                <w:rFonts w:hint="default" w:ascii="Times New Roman" w:hAnsi="Times New Roman" w:eastAsia="宋体" w:cs="Times New Roman"/>
                <w:color w:val="auto"/>
                <w:sz w:val="24"/>
                <w:szCs w:val="24"/>
                <w:highlight w:val="none"/>
                <w:lang w:val="en-US" w:eastAsia="zh-CN"/>
              </w:rPr>
              <w:t>1.67</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p>
        </w:tc>
      </w:tr>
    </w:tbl>
    <w:p>
      <w:pPr>
        <w:jc w:val="center"/>
        <w:rPr>
          <w:rFonts w:hint="default" w:ascii="Times New Roman" w:hAnsi="Times New Roman" w:eastAsia="宋体" w:cs="Times New Roman"/>
          <w:b/>
          <w:bCs/>
          <w:color w:val="auto"/>
          <w:sz w:val="28"/>
          <w:szCs w:val="28"/>
          <w:highlight w:val="none"/>
        </w:rPr>
      </w:pPr>
    </w:p>
    <w:p>
      <w:pPr>
        <w:jc w:val="center"/>
        <w:rPr>
          <w:rFonts w:hint="default" w:ascii="Times New Roman" w:hAnsi="Times New Roman" w:eastAsia="宋体" w:cs="Times New Roman"/>
          <w:b/>
          <w:bCs/>
          <w:color w:val="auto"/>
          <w:sz w:val="28"/>
          <w:szCs w:val="28"/>
          <w:highlight w:val="none"/>
        </w:rPr>
        <w:sectPr>
          <w:pgSz w:w="11906" w:h="16838"/>
          <w:pgMar w:top="1440" w:right="1463" w:bottom="1440" w:left="1463" w:header="851" w:footer="992" w:gutter="0"/>
          <w:cols w:space="425" w:num="1"/>
          <w:docGrid w:type="lines" w:linePitch="312" w:charSpace="0"/>
        </w:sectPr>
      </w:pPr>
    </w:p>
    <w:p>
      <w:pPr>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四、主要环境影响和保护措施</w:t>
      </w:r>
    </w:p>
    <w:tbl>
      <w:tblPr>
        <w:tblStyle w:val="23"/>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施工期环境保护措施</w:t>
            </w:r>
          </w:p>
        </w:tc>
        <w:tc>
          <w:tcPr>
            <w:tcW w:w="8435" w:type="dxa"/>
            <w:vAlign w:val="center"/>
          </w:tcPr>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1、废气环保措施</w:t>
            </w:r>
          </w:p>
          <w:p>
            <w:pPr>
              <w:pStyle w:val="3"/>
              <w:spacing w:after="0" w:afterLines="0" w:line="360" w:lineRule="auto"/>
              <w:ind w:left="0" w:leftChars="0" w:firstLine="480" w:firstLineChars="200"/>
              <w:jc w:val="both"/>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（1）锅炉</w:t>
            </w:r>
            <w:r>
              <w:rPr>
                <w:rFonts w:hint="default" w:ascii="Times New Roman" w:hAnsi="Times New Roman" w:eastAsia="宋体" w:cs="Times New Roman"/>
                <w:color w:val="auto"/>
                <w:szCs w:val="32"/>
                <w:highlight w:val="none"/>
                <w:lang w:eastAsia="zh-CN"/>
              </w:rPr>
              <w:t>以及配套设施的</w:t>
            </w:r>
            <w:r>
              <w:rPr>
                <w:rFonts w:hint="default" w:ascii="Times New Roman" w:hAnsi="Times New Roman" w:eastAsia="宋体" w:cs="Times New Roman"/>
                <w:bCs/>
                <w:color w:val="auto"/>
                <w:highlight w:val="none"/>
                <w:lang w:eastAsia="zh-CN"/>
              </w:rPr>
              <w:t>基础开挖场地在施工前进行洒水降尘；</w:t>
            </w:r>
          </w:p>
          <w:p>
            <w:pPr>
              <w:pStyle w:val="3"/>
              <w:spacing w:after="0" w:afterLines="0" w:line="360" w:lineRule="auto"/>
              <w:ind w:left="0" w:leftChars="0" w:firstLine="480" w:firstLineChars="200"/>
              <w:jc w:val="both"/>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（2）开挖</w:t>
            </w:r>
            <w:r>
              <w:rPr>
                <w:rFonts w:hint="default" w:ascii="Times New Roman" w:hAnsi="Times New Roman" w:eastAsia="宋体" w:cs="Times New Roman"/>
                <w:color w:val="auto"/>
                <w:szCs w:val="24"/>
                <w:highlight w:val="none"/>
                <w:lang w:eastAsia="zh-CN"/>
              </w:rPr>
              <w:t>土方堆放过程进行</w:t>
            </w:r>
            <w:r>
              <w:rPr>
                <w:rFonts w:hint="default" w:ascii="Times New Roman" w:hAnsi="Times New Roman" w:eastAsia="宋体" w:cs="Times New Roman"/>
                <w:bCs/>
                <w:color w:val="auto"/>
                <w:highlight w:val="none"/>
                <w:lang w:eastAsia="zh-CN"/>
              </w:rPr>
              <w:t>覆盖苫布，通过对堆场进行洒水；</w:t>
            </w:r>
          </w:p>
          <w:p>
            <w:pPr>
              <w:pStyle w:val="3"/>
              <w:spacing w:after="0" w:afterLines="0" w:line="360" w:lineRule="auto"/>
              <w:ind w:left="0" w:leftChars="0" w:firstLine="480" w:firstLineChars="200"/>
              <w:jc w:val="both"/>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（3）建筑材料</w:t>
            </w:r>
            <w:r>
              <w:rPr>
                <w:rFonts w:hint="default" w:ascii="Times New Roman" w:hAnsi="Times New Roman" w:eastAsia="宋体" w:cs="Times New Roman"/>
                <w:color w:val="auto"/>
                <w:szCs w:val="24"/>
                <w:highlight w:val="none"/>
                <w:lang w:eastAsia="zh-CN"/>
              </w:rPr>
              <w:t>堆放过程进行</w:t>
            </w:r>
            <w:r>
              <w:rPr>
                <w:rFonts w:hint="default" w:ascii="Times New Roman" w:hAnsi="Times New Roman" w:eastAsia="宋体" w:cs="Times New Roman"/>
                <w:bCs/>
                <w:color w:val="auto"/>
                <w:highlight w:val="none"/>
                <w:lang w:eastAsia="zh-CN"/>
              </w:rPr>
              <w:t>覆盖苫布，通过对堆场进行洒水；</w:t>
            </w:r>
          </w:p>
          <w:p>
            <w:pPr>
              <w:pStyle w:val="3"/>
              <w:spacing w:after="0" w:afterLines="0" w:line="360" w:lineRule="auto"/>
              <w:ind w:left="0" w:leftChars="0" w:firstLine="480" w:firstLineChars="200"/>
              <w:jc w:val="both"/>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bCs/>
                <w:color w:val="auto"/>
                <w:highlight w:val="none"/>
                <w:lang w:eastAsia="zh-CN"/>
              </w:rPr>
              <w:t>（4）运输道路进行洒水抑尘。</w:t>
            </w:r>
          </w:p>
          <w:p>
            <w:pPr>
              <w:pStyle w:val="3"/>
              <w:spacing w:after="0" w:afterLines="0" w:line="360" w:lineRule="auto"/>
              <w:ind w:left="0" w:leftChars="0" w:firstLine="482" w:firstLineChars="200"/>
              <w:jc w:val="both"/>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2、废水环保措施</w:t>
            </w:r>
          </w:p>
          <w:p>
            <w:pPr>
              <w:pStyle w:val="3"/>
              <w:spacing w:after="0" w:afterLines="0" w:line="360" w:lineRule="auto"/>
              <w:ind w:left="0" w:leftChars="0" w:firstLine="480" w:firstLineChars="200"/>
              <w:jc w:val="both"/>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t>（1）施工人员的生活污水经厂区现有防渗化粪池处理后，定期清掏</w:t>
            </w:r>
            <w:r>
              <w:rPr>
                <w:rFonts w:hint="default" w:ascii="Times New Roman" w:hAnsi="Times New Roman" w:eastAsia="宋体" w:cs="Times New Roman"/>
                <w:color w:val="auto"/>
                <w:szCs w:val="21"/>
                <w:highlight w:val="none"/>
                <w:lang w:eastAsia="zh-CN"/>
              </w:rPr>
              <w:t>；</w:t>
            </w:r>
          </w:p>
          <w:p>
            <w:pPr>
              <w:pStyle w:val="3"/>
              <w:spacing w:after="0" w:afterLines="0" w:line="360" w:lineRule="auto"/>
              <w:ind w:left="0" w:leftChars="0" w:firstLine="480" w:firstLineChars="200"/>
              <w:jc w:val="both"/>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t>（2）施工废水经临时沉淀池处理后将上清液循环使用于施工生产，不外排。</w:t>
            </w:r>
          </w:p>
          <w:p>
            <w:pPr>
              <w:tabs>
                <w:tab w:val="left" w:pos="2880"/>
              </w:tabs>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3、噪声环保措施</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为减轻施工期噪声对周围环境影响，建设单位应严格按照噪声污染防治管理的有关规定，采取一下措施：</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（1）施工现场合理布局，以避免局部声级过高，尽可能将施工阶段的噪声减至最小。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（2）现场施工人员要严加管理，在施工建设时要防止互相撞击噪声，要文明施工。</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（3）合理安排作业时间，严禁中午和晚上施工。</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（4）及时保养维修施工机械，严格按照操作规程使用各类机械。</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（5）在施工场地周围设置挡板。</w:t>
            </w:r>
          </w:p>
          <w:p>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4、固体废物环保措施</w:t>
            </w:r>
          </w:p>
          <w:p>
            <w:pP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（1）建筑垃圾按照当地执法部门要求进行处置。</w:t>
            </w:r>
          </w:p>
          <w:p>
            <w:pP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（2）设备包装物收集后外售废品收购站。</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（3）施工人员的生活垃圾经垃圾桶收集后，由当地环卫部门定期清运</w:t>
            </w:r>
            <w:r>
              <w:rPr>
                <w:rFonts w:hint="default" w:ascii="Times New Roman" w:hAnsi="Times New Roman" w:eastAsia="宋体" w:cs="Times New Roman"/>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运营期环境影响和保护措施</w:t>
            </w:r>
          </w:p>
        </w:tc>
        <w:tc>
          <w:tcPr>
            <w:tcW w:w="84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1、废气产排情况及治理措施可行性分析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1.1 废气产排情况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本项目运营期产生的大气污染物主要为</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废气、灰渣间粉尘。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1.1.1锅炉废气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本项目新建的1台</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废气经</w:t>
            </w:r>
            <w:r>
              <w:rPr>
                <w:rFonts w:hint="default" w:ascii="Times New Roman" w:hAnsi="Times New Roman" w:eastAsia="宋体" w:cs="Times New Roman"/>
                <w:color w:val="auto"/>
                <w:sz w:val="24"/>
                <w:szCs w:val="24"/>
                <w:highlight w:val="none"/>
                <w:lang w:val="en-US" w:eastAsia="zh-CN"/>
              </w:rPr>
              <w:t>1台多管旋风除尘器、1台布袋除尘器和</w:t>
            </w:r>
            <w:r>
              <w:rPr>
                <w:rFonts w:hint="default" w:ascii="Times New Roman" w:hAnsi="Times New Roman" w:eastAsia="宋体" w:cs="Times New Roman"/>
                <w:color w:val="auto"/>
                <w:sz w:val="24"/>
                <w:szCs w:val="24"/>
                <w:highlight w:val="none"/>
              </w:rPr>
              <w:t>1台钠碱法脱硫塔处理后，</w:t>
            </w:r>
            <w:r>
              <w:rPr>
                <w:rFonts w:hint="default" w:ascii="Times New Roman" w:hAnsi="Times New Roman" w:eastAsia="宋体" w:cs="Times New Roman"/>
                <w:color w:val="auto"/>
                <w:sz w:val="24"/>
                <w:szCs w:val="24"/>
                <w:highlight w:val="none"/>
                <w:lang w:eastAsia="zh-CN"/>
              </w:rPr>
              <w:t>经</w:t>
            </w:r>
            <w:r>
              <w:rPr>
                <w:rFonts w:hint="default" w:ascii="Times New Roman" w:hAnsi="Times New Roman" w:eastAsia="宋体" w:cs="Times New Roman"/>
                <w:color w:val="auto"/>
                <w:sz w:val="24"/>
                <w:szCs w:val="24"/>
                <w:highlight w:val="none"/>
              </w:rPr>
              <w:t>1根高</w:t>
            </w:r>
            <w:r>
              <w:rPr>
                <w:rFonts w:hint="default" w:ascii="Times New Roman" w:hAnsi="Times New Roman" w:eastAsia="宋体" w:cs="Times New Roman"/>
                <w:color w:val="auto"/>
                <w:sz w:val="24"/>
                <w:szCs w:val="24"/>
                <w:highlight w:val="none"/>
                <w:lang w:val="en-US" w:eastAsia="zh-CN"/>
              </w:rPr>
              <w:t>40m</w:t>
            </w:r>
            <w:r>
              <w:rPr>
                <w:rFonts w:hint="default" w:ascii="Times New Roman" w:hAnsi="Times New Roman" w:eastAsia="宋体" w:cs="Times New Roman"/>
                <w:color w:val="auto"/>
                <w:sz w:val="24"/>
                <w:szCs w:val="24"/>
                <w:highlight w:val="none"/>
              </w:rPr>
              <w:t>排气筒排放。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消耗量为</w:t>
            </w:r>
            <w:r>
              <w:rPr>
                <w:rFonts w:hint="default" w:ascii="Times New Roman" w:hAnsi="Times New Roman" w:eastAsia="宋体" w:cs="Times New Roman"/>
                <w:color w:val="auto"/>
                <w:sz w:val="24"/>
                <w:szCs w:val="24"/>
                <w:highlight w:val="none"/>
                <w:lang w:val="en-US" w:eastAsia="zh-CN"/>
              </w:rPr>
              <w:t>1640</w:t>
            </w:r>
            <w:r>
              <w:rPr>
                <w:rFonts w:hint="default" w:ascii="Times New Roman" w:hAnsi="Times New Roman" w:eastAsia="宋体" w:cs="Times New Roman"/>
                <w:color w:val="auto"/>
                <w:sz w:val="24"/>
                <w:szCs w:val="24"/>
                <w:highlight w:val="none"/>
              </w:rPr>
              <w:t>t/a，废气中主要大气污染物为颗粒物、SO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、NOx、汞及其化合物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具体计算如下：</w:t>
            </w:r>
          </w:p>
          <w:p>
            <w:pPr>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4-1</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生物质热水锅炉</w:t>
            </w:r>
            <w:r>
              <w:rPr>
                <w:rFonts w:hint="default" w:ascii="Times New Roman" w:hAnsi="Times New Roman" w:eastAsia="宋体" w:cs="Times New Roman"/>
                <w:b/>
                <w:bCs/>
                <w:color w:val="auto"/>
                <w:sz w:val="24"/>
                <w:szCs w:val="24"/>
                <w:highlight w:val="none"/>
              </w:rPr>
              <w:t>的废气产排污系数表</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摘录）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173"/>
              <w:gridCol w:w="1173"/>
              <w:gridCol w:w="1173"/>
              <w:gridCol w:w="234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 w:type="pct"/>
                  <w:noWrap w:val="0"/>
                  <w:vAlign w:val="center"/>
                </w:tcPr>
                <w:p>
                  <w:pPr>
                    <w:widowControl/>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产品</w:t>
                  </w:r>
                </w:p>
                <w:p>
                  <w:pPr>
                    <w:widowControl/>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名称</w:t>
                  </w:r>
                </w:p>
              </w:tc>
              <w:tc>
                <w:tcPr>
                  <w:tcW w:w="50" w:type="pct"/>
                  <w:noWrap w:val="0"/>
                  <w:vAlign w:val="center"/>
                </w:tcPr>
                <w:p>
                  <w:pPr>
                    <w:widowControl/>
                    <w:snapToGrid w:val="0"/>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原料</w:t>
                  </w:r>
                </w:p>
                <w:p>
                  <w:pPr>
                    <w:widowControl/>
                    <w:snapToGrid w:val="0"/>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名称</w:t>
                  </w:r>
                </w:p>
              </w:tc>
              <w:tc>
                <w:tcPr>
                  <w:tcW w:w="50" w:type="pct"/>
                  <w:noWrap w:val="0"/>
                  <w:vAlign w:val="center"/>
                </w:tcPr>
                <w:p>
                  <w:pPr>
                    <w:widowControl/>
                    <w:snapToGrid w:val="0"/>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工艺</w:t>
                  </w:r>
                </w:p>
                <w:p>
                  <w:pPr>
                    <w:widowControl/>
                    <w:snapToGrid w:val="0"/>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名称</w:t>
                  </w:r>
                </w:p>
              </w:tc>
              <w:tc>
                <w:tcPr>
                  <w:tcW w:w="50" w:type="pct"/>
                  <w:noWrap w:val="0"/>
                  <w:vAlign w:val="center"/>
                </w:tcPr>
                <w:p>
                  <w:pPr>
                    <w:widowControl/>
                    <w:snapToGrid w:val="0"/>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w:t>
                  </w:r>
                </w:p>
                <w:p>
                  <w:pPr>
                    <w:widowControl/>
                    <w:snapToGrid w:val="0"/>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指标</w:t>
                  </w:r>
                </w:p>
              </w:tc>
              <w:tc>
                <w:tcPr>
                  <w:tcW w:w="100" w:type="pct"/>
                  <w:noWrap w:val="0"/>
                  <w:vAlign w:val="center"/>
                </w:tcPr>
                <w:p>
                  <w:pPr>
                    <w:widowControl/>
                    <w:snapToGrid w:val="0"/>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单位</w:t>
                  </w:r>
                </w:p>
              </w:tc>
              <w:tc>
                <w:tcPr>
                  <w:tcW w:w="50" w:type="pct"/>
                  <w:noWrap w:val="0"/>
                  <w:vAlign w:val="center"/>
                </w:tcPr>
                <w:p>
                  <w:pPr>
                    <w:widowControl/>
                    <w:snapToGrid w:val="0"/>
                    <w:spacing w:line="240" w:lineRule="auto"/>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 w:type="pct"/>
                  <w:vMerge w:val="restart"/>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蒸汽</w:t>
                  </w:r>
                  <w:r>
                    <w:rPr>
                      <w:rFonts w:hint="default" w:ascii="Times New Roman" w:hAnsi="Times New Roman" w:eastAsia="宋体" w:cs="Times New Roman"/>
                      <w:color w:val="auto"/>
                      <w:kern w:val="0"/>
                      <w:sz w:val="21"/>
                      <w:szCs w:val="21"/>
                      <w:highlight w:val="none"/>
                      <w:lang w:val="en-US" w:eastAsia="zh-CN"/>
                    </w:rPr>
                    <w:t>/热水/其他</w:t>
                  </w:r>
                </w:p>
              </w:tc>
              <w:tc>
                <w:tcPr>
                  <w:tcW w:w="50" w:type="pct"/>
                  <w:vMerge w:val="restart"/>
                  <w:noWrap w:val="0"/>
                  <w:vAlign w:val="center"/>
                </w:tcPr>
                <w:p>
                  <w:pPr>
                    <w:widowControl/>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生物质燃料</w:t>
                  </w:r>
                </w:p>
              </w:tc>
              <w:tc>
                <w:tcPr>
                  <w:tcW w:w="50" w:type="pct"/>
                  <w:vMerge w:val="restart"/>
                  <w:noWrap w:val="0"/>
                  <w:vAlign w:val="center"/>
                </w:tcPr>
                <w:p>
                  <w:pPr>
                    <w:widowControl/>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层燃炉</w:t>
                  </w:r>
                </w:p>
              </w:tc>
              <w:tc>
                <w:tcPr>
                  <w:tcW w:w="50" w:type="pct"/>
                  <w:noWrap w:val="0"/>
                  <w:vAlign w:val="center"/>
                </w:tcPr>
                <w:p>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二氧化硫</w:t>
                  </w:r>
                </w:p>
              </w:tc>
              <w:tc>
                <w:tcPr>
                  <w:tcW w:w="100" w:type="pct"/>
                  <w:noWrap w:val="0"/>
                  <w:vAlign w:val="center"/>
                </w:tcPr>
                <w:p>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千克/吨-原料</w:t>
                  </w:r>
                </w:p>
              </w:tc>
              <w:tc>
                <w:tcPr>
                  <w:tcW w:w="50" w:type="pct"/>
                  <w:noWrap w:val="0"/>
                  <w:vAlign w:val="center"/>
                </w:tcPr>
                <w:p>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val="en-US" w:eastAsia="zh-CN"/>
                    </w:rPr>
                    <w:t>7</w:t>
                  </w:r>
                  <w:r>
                    <w:rPr>
                      <w:rFonts w:hint="default" w:ascii="Times New Roman" w:hAnsi="Times New Roman" w:eastAsia="宋体" w:cs="Times New Roman"/>
                      <w:color w:val="auto"/>
                      <w:kern w:val="0"/>
                      <w:sz w:val="21"/>
                      <w:szCs w:val="21"/>
                      <w:highlight w:val="no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vMerge w:val="restart"/>
                  <w:noWrap w:val="0"/>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00" w:type="pct"/>
                  <w:vMerge w:val="restart"/>
                  <w:noWrap w:val="0"/>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千克/吨-原料</w:t>
                  </w:r>
                </w:p>
              </w:tc>
              <w:tc>
                <w:tcPr>
                  <w:tcW w:w="50" w:type="pct"/>
                  <w:vMerge w:val="restart"/>
                  <w:noWrap w:val="0"/>
                  <w:vAlign w:val="center"/>
                </w:tcPr>
                <w:p>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vMerge w:val="continue"/>
                  <w:noWrap w:val="0"/>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100" w:type="pct"/>
                  <w:vMerge w:val="continue"/>
                  <w:noWrap w:val="0"/>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50" w:type="pct"/>
                  <w:vMerge w:val="continue"/>
                  <w:noWrap w:val="0"/>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vMerge w:val="continue"/>
                  <w:noWrap w:val="0"/>
                  <w:vAlign w:val="center"/>
                </w:tcPr>
                <w:p>
                  <w:pPr>
                    <w:widowControl/>
                    <w:spacing w:line="240" w:lineRule="auto"/>
                    <w:jc w:val="center"/>
                    <w:rPr>
                      <w:rFonts w:hint="default" w:ascii="Times New Roman" w:hAnsi="Times New Roman" w:eastAsia="宋体" w:cs="Times New Roman"/>
                      <w:color w:val="auto"/>
                      <w:kern w:val="0"/>
                      <w:sz w:val="21"/>
                      <w:szCs w:val="21"/>
                      <w:highlight w:val="none"/>
                    </w:rPr>
                  </w:pPr>
                </w:p>
              </w:tc>
              <w:tc>
                <w:tcPr>
                  <w:tcW w:w="50" w:type="pct"/>
                  <w:noWrap w:val="0"/>
                  <w:vAlign w:val="center"/>
                </w:tcPr>
                <w:p>
                  <w:pPr>
                    <w:widowControl/>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氮氧化物</w:t>
                  </w:r>
                </w:p>
              </w:tc>
              <w:tc>
                <w:tcPr>
                  <w:tcW w:w="100" w:type="pct"/>
                  <w:noWrap w:val="0"/>
                  <w:vAlign w:val="center"/>
                </w:tcPr>
                <w:p>
                  <w:pPr>
                    <w:widowControl/>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千克/吨-原料</w:t>
                  </w:r>
                </w:p>
              </w:tc>
              <w:tc>
                <w:tcPr>
                  <w:tcW w:w="50" w:type="pct"/>
                  <w:noWrap w:val="0"/>
                  <w:vAlign w:val="center"/>
                </w:tcPr>
                <w:p>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w:t>
            </w: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）颗粒物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根据《排放源统计调查产排污核算方法和系数手册》（公告2021年第24号）--4430工业锅炉（热力供应）行业系数手册--生物质工业锅炉，颗粒物产污系数按0.5千克/吨-原料，</w:t>
            </w:r>
            <w:r>
              <w:rPr>
                <w:rFonts w:hint="default" w:ascii="Times New Roman" w:hAnsi="Times New Roman" w:eastAsia="宋体" w:cs="Times New Roman"/>
                <w:color w:val="auto"/>
                <w:kern w:val="0"/>
                <w:sz w:val="24"/>
                <w:szCs w:val="24"/>
                <w:highlight w:val="none"/>
              </w:rPr>
              <w:t>生物质成型燃料</w:t>
            </w:r>
            <w:r>
              <w:rPr>
                <w:rFonts w:hint="default" w:ascii="Times New Roman" w:hAnsi="Times New Roman" w:eastAsia="宋体" w:cs="Times New Roman"/>
                <w:color w:val="auto"/>
                <w:sz w:val="24"/>
                <w:szCs w:val="24"/>
                <w:highlight w:val="none"/>
              </w:rPr>
              <w:t>消耗量为</w:t>
            </w:r>
            <w:r>
              <w:rPr>
                <w:rFonts w:hint="default" w:ascii="Times New Roman" w:hAnsi="Times New Roman" w:eastAsia="宋体" w:cs="Times New Roman"/>
                <w:color w:val="auto"/>
                <w:sz w:val="24"/>
                <w:szCs w:val="24"/>
                <w:lang w:val="en-US" w:eastAsia="zh-CN"/>
              </w:rPr>
              <w:t>1640</w:t>
            </w:r>
            <w:r>
              <w:rPr>
                <w:rFonts w:hint="default" w:ascii="Times New Roman" w:hAnsi="Times New Roman" w:eastAsia="宋体" w:cs="Times New Roman"/>
                <w:color w:val="auto"/>
                <w:sz w:val="24"/>
                <w:szCs w:val="24"/>
                <w:highlight w:val="none"/>
              </w:rPr>
              <w:t>t/a，则1台</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lang w:eastAsia="zh-CN"/>
              </w:rPr>
              <w:t>生物质热水锅炉颗粒物产生量为</w:t>
            </w:r>
            <w:r>
              <w:rPr>
                <w:rFonts w:hint="default" w:ascii="Times New Roman" w:hAnsi="Times New Roman" w:eastAsia="宋体" w:cs="Times New Roman"/>
                <w:color w:val="auto"/>
                <w:sz w:val="24"/>
                <w:szCs w:val="24"/>
                <w:lang w:val="en-US" w:eastAsia="zh-CN"/>
              </w:rPr>
              <w:t>1640</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×0.5千克/吨-原料</w:t>
            </w:r>
            <w:r>
              <w:rPr>
                <w:rFonts w:hint="default"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0.82t/a</w:t>
            </w:r>
            <w:r>
              <w:rPr>
                <w:rFonts w:hint="default" w:ascii="Times New Roman" w:hAnsi="Times New Roman" w:eastAsia="宋体" w:cs="Times New Roman"/>
                <w:b w:val="0"/>
                <w:bCs w:val="0"/>
                <w:color w:val="auto"/>
                <w:kern w:val="0"/>
                <w:sz w:val="24"/>
                <w:szCs w:val="24"/>
                <w:highlight w:val="none"/>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多管旋风除尘器</w:t>
            </w:r>
            <w:r>
              <w:rPr>
                <w:rFonts w:hint="default"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4"/>
                <w:lang w:val="en-US" w:eastAsia="zh-CN"/>
              </w:rPr>
              <w:t>+钠碱法脱硫塔</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color w:val="auto"/>
                <w:sz w:val="24"/>
                <w:szCs w:val="24"/>
                <w:lang w:eastAsia="zh-CN"/>
              </w:rPr>
              <w:t>多管除尘法去除效率为</w:t>
            </w:r>
            <w:r>
              <w:rPr>
                <w:rFonts w:hint="default" w:ascii="Times New Roman" w:hAnsi="Times New Roman" w:eastAsia="宋体" w:cs="Times New Roman"/>
                <w:color w:val="auto"/>
                <w:sz w:val="24"/>
                <w:szCs w:val="24"/>
                <w:lang w:val="en-US" w:eastAsia="zh-CN"/>
              </w:rPr>
              <w:t>70%（本次评价取50%）、</w:t>
            </w:r>
            <w:r>
              <w:rPr>
                <w:rFonts w:hint="default"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4"/>
                <w:lang w:eastAsia="zh-CN"/>
              </w:rPr>
              <w:t>去除效率为</w:t>
            </w:r>
            <w:r>
              <w:rPr>
                <w:rFonts w:hint="default" w:ascii="Times New Roman" w:hAnsi="Times New Roman" w:eastAsia="宋体" w:cs="Times New Roman"/>
                <w:color w:val="auto"/>
                <w:sz w:val="24"/>
                <w:szCs w:val="24"/>
                <w:lang w:val="en-US" w:eastAsia="zh-CN"/>
              </w:rPr>
              <w:t>99%（本次评价取90%）、湿式除尘</w:t>
            </w:r>
            <w:r>
              <w:rPr>
                <w:rFonts w:hint="default" w:ascii="Times New Roman" w:hAnsi="Times New Roman" w:eastAsia="宋体" w:cs="Times New Roman"/>
                <w:color w:val="auto"/>
                <w:sz w:val="24"/>
                <w:szCs w:val="24"/>
                <w:lang w:eastAsia="zh-CN"/>
              </w:rPr>
              <w:t>去除效率为</w:t>
            </w:r>
            <w:r>
              <w:rPr>
                <w:rFonts w:hint="default" w:ascii="Times New Roman" w:hAnsi="Times New Roman" w:eastAsia="宋体" w:cs="Times New Roman"/>
                <w:color w:val="auto"/>
                <w:sz w:val="24"/>
                <w:szCs w:val="24"/>
                <w:lang w:val="en-US" w:eastAsia="zh-CN"/>
              </w:rPr>
              <w:t>87%（本次评价取50%）。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则1台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lang w:val="en-US" w:eastAsia="zh-CN"/>
              </w:rPr>
              <w:t>生物质热水锅炉</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排放</w:t>
            </w:r>
            <w:r>
              <w:rPr>
                <w:rFonts w:hint="default" w:ascii="Times New Roman" w:hAnsi="Times New Roman" w:eastAsia="宋体" w:cs="Times New Roman"/>
                <w:color w:val="auto"/>
                <w:sz w:val="24"/>
                <w:szCs w:val="24"/>
                <w:lang w:val="en-US" w:eastAsia="zh-CN"/>
              </w:rPr>
              <w:t>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0.02</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/a。</w:t>
            </w:r>
          </w:p>
          <w:p>
            <w:pPr>
              <w:pStyle w:val="2"/>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）二氧化硫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rPr>
              <w:t>根据《排放源统计调查产排污核算方法和系数手册》（公告2021年第24号）--4430工业锅炉（热力供应）行业系数手册--生物质工业锅炉，二氧化硫产污系数按17S千克/吨-原料，本项目S为0.07。</w:t>
            </w:r>
            <w:r>
              <w:rPr>
                <w:rFonts w:hint="default" w:ascii="Times New Roman" w:hAnsi="Times New Roman" w:eastAsia="宋体" w:cs="Times New Roman"/>
                <w:color w:val="auto"/>
                <w:kern w:val="0"/>
                <w:sz w:val="24"/>
                <w:szCs w:val="24"/>
                <w:highlight w:val="none"/>
              </w:rPr>
              <w:t>生物质成型燃料</w:t>
            </w:r>
            <w:r>
              <w:rPr>
                <w:rFonts w:hint="default" w:ascii="Times New Roman" w:hAnsi="Times New Roman" w:eastAsia="宋体" w:cs="Times New Roman"/>
                <w:color w:val="auto"/>
                <w:sz w:val="24"/>
                <w:szCs w:val="24"/>
                <w:highlight w:val="none"/>
              </w:rPr>
              <w:t>消耗量为</w:t>
            </w:r>
            <w:r>
              <w:rPr>
                <w:rFonts w:hint="default" w:ascii="Times New Roman" w:hAnsi="Times New Roman" w:eastAsia="宋体" w:cs="Times New Roman"/>
                <w:color w:val="auto"/>
                <w:sz w:val="24"/>
                <w:szCs w:val="24"/>
                <w:highlight w:val="none"/>
                <w:lang w:val="en-US" w:eastAsia="zh-CN"/>
              </w:rPr>
              <w:t>1640</w:t>
            </w:r>
            <w:r>
              <w:rPr>
                <w:rFonts w:hint="default" w:ascii="Times New Roman" w:hAnsi="Times New Roman" w:eastAsia="宋体" w:cs="Times New Roman"/>
                <w:color w:val="auto"/>
                <w:sz w:val="24"/>
                <w:szCs w:val="24"/>
                <w:highlight w:val="none"/>
              </w:rPr>
              <w:t>t/a，则1台</w:t>
            </w:r>
            <w:r>
              <w:rPr>
                <w:rFonts w:hint="eastAsia" w:ascii="Times New Roman" w:hAnsi="Times New Roman" w:eastAsia="宋体" w:cs="Times New Roman"/>
                <w:color w:val="auto"/>
                <w:sz w:val="24"/>
                <w:szCs w:val="24"/>
                <w:highlight w:val="none"/>
                <w:lang w:val="en-US"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b w:val="0"/>
                <w:bCs w:val="0"/>
                <w:color w:val="auto"/>
                <w:kern w:val="0"/>
                <w:sz w:val="24"/>
                <w:szCs w:val="24"/>
                <w:highlight w:val="none"/>
                <w:lang w:val="en-US" w:eastAsia="zh-CN"/>
              </w:rPr>
              <w:t>二氧化硫产生量为1640t/a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kern w:val="0"/>
                <w:sz w:val="24"/>
                <w:szCs w:val="24"/>
                <w:highlight w:val="none"/>
                <w:lang w:val="en-US" w:eastAsia="zh-CN"/>
              </w:rPr>
              <w:t>17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0.07</w:t>
            </w:r>
            <w:r>
              <w:rPr>
                <w:rFonts w:hint="default" w:ascii="Times New Roman" w:hAnsi="Times New Roman" w:eastAsia="宋体" w:cs="Times New Roman"/>
                <w:b w:val="0"/>
                <w:bCs w:val="0"/>
                <w:color w:val="auto"/>
                <w:kern w:val="0"/>
                <w:sz w:val="24"/>
                <w:szCs w:val="24"/>
                <w:highlight w:val="none"/>
                <w:lang w:val="en-US" w:eastAsia="zh-CN"/>
              </w:rPr>
              <w:t>千克/吨-原料=1.95</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b w:val="0"/>
                <w:bCs w:val="0"/>
                <w:color w:val="auto"/>
                <w:kern w:val="0"/>
                <w:sz w:val="24"/>
                <w:szCs w:val="24"/>
                <w:highlight w:val="none"/>
                <w:lang w:val="en-US" w:eastAsia="zh-CN"/>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废气采用多管旋风除尘器+布袋除尘器+钠碱法脱硫塔进行处理，参考《排放源统计调查产排污核算方法和系数手册》（公告2021年第24号）-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，钠碱法脱硫效率为92.5%</w:t>
            </w:r>
            <w:r>
              <w:rPr>
                <w:rFonts w:hint="default" w:ascii="Times New Roman" w:hAnsi="Times New Roman" w:eastAsia="宋体" w:cs="Times New Roman"/>
                <w:color w:val="auto"/>
                <w:sz w:val="24"/>
                <w:szCs w:val="24"/>
                <w:lang w:val="en-US" w:eastAsia="zh-CN"/>
              </w:rPr>
              <w:t>（本次评价取80%）。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则1台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lang w:val="en-US" w:eastAsia="zh-CN"/>
              </w:rPr>
              <w:t>生物质热水锅炉二氧化硫</w:t>
            </w:r>
            <w:r>
              <w:rPr>
                <w:rFonts w:hint="default" w:ascii="Times New Roman" w:hAnsi="Times New Roman" w:eastAsia="宋体" w:cs="Times New Roman"/>
                <w:color w:val="auto"/>
                <w:sz w:val="24"/>
                <w:szCs w:val="24"/>
              </w:rPr>
              <w:t>排放量</w:t>
            </w:r>
            <w:r>
              <w:rPr>
                <w:rFonts w:hint="default" w:ascii="Times New Roman" w:hAnsi="Times New Roman" w:eastAsia="宋体" w:cs="Times New Roman"/>
                <w:color w:val="auto"/>
                <w:sz w:val="24"/>
                <w:szCs w:val="24"/>
                <w:lang w:val="en-US" w:eastAsia="zh-CN"/>
              </w:rPr>
              <w:t>为0.39t/a</w:t>
            </w:r>
            <w:r>
              <w:rPr>
                <w:rFonts w:hint="default" w:ascii="Times New Roman" w:hAnsi="Times New Roman" w:eastAsia="宋体" w:cs="Times New Roman"/>
                <w:color w:val="auto"/>
                <w:sz w:val="24"/>
                <w:szCs w:val="24"/>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）氮氧化物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根据《排放源统计调查产排污核算方法和系数手册》（公告2021年第24号）--4430工业锅炉（热力供应）行业系数手册--生物质工业锅炉，</w:t>
            </w:r>
            <w:r>
              <w:rPr>
                <w:rFonts w:hint="default" w:ascii="Times New Roman" w:hAnsi="Times New Roman" w:eastAsia="宋体" w:cs="Times New Roman"/>
                <w:b w:val="0"/>
                <w:bCs w:val="0"/>
                <w:color w:val="auto"/>
                <w:sz w:val="24"/>
                <w:szCs w:val="24"/>
                <w:highlight w:val="none"/>
              </w:rPr>
              <w:t>氮氧化物</w:t>
            </w:r>
            <w:r>
              <w:rPr>
                <w:rFonts w:hint="default" w:ascii="Times New Roman" w:hAnsi="Times New Roman" w:eastAsia="宋体" w:cs="Times New Roman"/>
                <w:b w:val="0"/>
                <w:bCs w:val="0"/>
                <w:color w:val="auto"/>
                <w:kern w:val="0"/>
                <w:sz w:val="24"/>
                <w:szCs w:val="24"/>
                <w:highlight w:val="none"/>
                <w:lang w:val="en-US" w:eastAsia="zh-CN"/>
              </w:rPr>
              <w:t>产污系数按1.02千克/吨-原料。</w:t>
            </w:r>
            <w:r>
              <w:rPr>
                <w:rFonts w:hint="default" w:ascii="Times New Roman" w:hAnsi="Times New Roman" w:eastAsia="宋体" w:cs="Times New Roman"/>
                <w:color w:val="auto"/>
                <w:kern w:val="0"/>
                <w:sz w:val="24"/>
                <w:szCs w:val="24"/>
                <w:highlight w:val="none"/>
              </w:rPr>
              <w:t>生物质成型燃料</w:t>
            </w:r>
            <w:r>
              <w:rPr>
                <w:rFonts w:hint="default" w:ascii="Times New Roman" w:hAnsi="Times New Roman" w:eastAsia="宋体" w:cs="Times New Roman"/>
                <w:color w:val="auto"/>
                <w:sz w:val="24"/>
                <w:szCs w:val="24"/>
                <w:highlight w:val="none"/>
              </w:rPr>
              <w:t>消耗量为</w:t>
            </w:r>
            <w:r>
              <w:rPr>
                <w:rFonts w:hint="default" w:ascii="Times New Roman" w:hAnsi="Times New Roman" w:eastAsia="宋体" w:cs="Times New Roman"/>
                <w:color w:val="auto"/>
                <w:sz w:val="24"/>
                <w:szCs w:val="24"/>
                <w:lang w:val="en-US" w:eastAsia="zh-CN"/>
              </w:rPr>
              <w:t>1640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则1台</w:t>
            </w:r>
            <w:r>
              <w:rPr>
                <w:rFonts w:hint="eastAsia" w:ascii="Times New Roman" w:hAnsi="Times New Roman" w:eastAsia="宋体" w:cs="Times New Roman"/>
                <w:b w:val="0"/>
                <w:bCs w:val="0"/>
                <w:color w:val="auto"/>
                <w:kern w:val="0"/>
                <w:sz w:val="24"/>
                <w:szCs w:val="24"/>
                <w:highlight w:val="none"/>
                <w:lang w:val="en-US" w:eastAsia="zh-CN"/>
              </w:rPr>
              <w:t>7MW</w:t>
            </w:r>
            <w:r>
              <w:rPr>
                <w:rFonts w:hint="default" w:ascii="Times New Roman" w:hAnsi="Times New Roman" w:eastAsia="宋体" w:cs="Times New Roman"/>
                <w:b w:val="0"/>
                <w:bCs w:val="0"/>
                <w:color w:val="auto"/>
                <w:kern w:val="0"/>
                <w:sz w:val="24"/>
                <w:szCs w:val="24"/>
                <w:highlight w:val="none"/>
                <w:lang w:val="en-US" w:eastAsia="zh-CN"/>
              </w:rPr>
              <w:t>生物质热水锅炉</w:t>
            </w:r>
            <w:r>
              <w:rPr>
                <w:rFonts w:hint="default" w:ascii="Times New Roman" w:hAnsi="Times New Roman" w:eastAsia="宋体" w:cs="Times New Roman"/>
                <w:b w:val="0"/>
                <w:bCs w:val="0"/>
                <w:color w:val="auto"/>
                <w:sz w:val="24"/>
                <w:szCs w:val="24"/>
                <w:highlight w:val="none"/>
              </w:rPr>
              <w:t>氮氧化物</w:t>
            </w:r>
            <w:r>
              <w:rPr>
                <w:rFonts w:hint="default" w:ascii="Times New Roman" w:hAnsi="Times New Roman" w:eastAsia="宋体" w:cs="Times New Roman"/>
                <w:b w:val="0"/>
                <w:bCs w:val="0"/>
                <w:color w:val="auto"/>
                <w:kern w:val="0"/>
                <w:sz w:val="24"/>
                <w:szCs w:val="24"/>
                <w:highlight w:val="none"/>
                <w:lang w:val="en-US" w:eastAsia="zh-CN"/>
              </w:rPr>
              <w:t>产生量为</w:t>
            </w:r>
            <w:r>
              <w:rPr>
                <w:rFonts w:hint="default" w:ascii="Times New Roman" w:hAnsi="Times New Roman" w:eastAsia="宋体" w:cs="Times New Roman"/>
                <w:color w:val="auto"/>
                <w:sz w:val="24"/>
                <w:szCs w:val="24"/>
                <w:lang w:val="en-US" w:eastAsia="zh-CN"/>
              </w:rPr>
              <w:t>1640</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kern w:val="0"/>
                <w:sz w:val="24"/>
                <w:szCs w:val="24"/>
                <w:highlight w:val="none"/>
                <w:lang w:val="en-US" w:eastAsia="zh-CN"/>
              </w:rPr>
              <w:t>1.02千克/吨-原料=1.67</w:t>
            </w:r>
            <w:r>
              <w:rPr>
                <w:rFonts w:hint="default" w:ascii="Times New Roman" w:hAnsi="Times New Roman" w:eastAsia="宋体" w:cs="Times New Roman"/>
                <w:b w:val="0"/>
                <w:bCs w:val="0"/>
                <w:color w:val="auto"/>
                <w:sz w:val="24"/>
                <w:szCs w:val="24"/>
                <w:highlight w:val="none"/>
                <w:lang w:val="en-US" w:eastAsia="zh-CN"/>
              </w:rPr>
              <w:t>t/a。</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lang w:val="en-US" w:eastAsia="zh-CN"/>
              </w:rPr>
              <w:t>生物质热水锅炉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排放量为</w:t>
            </w:r>
            <w:r>
              <w:rPr>
                <w:rFonts w:hint="default" w:ascii="Times New Roman" w:hAnsi="Times New Roman" w:eastAsia="宋体" w:cs="Times New Roman"/>
                <w:b w:val="0"/>
                <w:bCs w:val="0"/>
                <w:color w:val="auto"/>
                <w:kern w:val="0"/>
                <w:sz w:val="24"/>
                <w:szCs w:val="24"/>
                <w:highlight w:val="none"/>
                <w:lang w:val="en-US" w:eastAsia="zh-CN"/>
              </w:rPr>
              <w:t>1.67</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）汞及其化合物</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根据《污染源源强核算技术指南 锅炉》 (HJ991-2018) 汞及其化合物排放量采用物料衡算法计算，计算公式：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5255895" cy="2051050"/>
                  <wp:effectExtent l="0" t="0" r="1905" b="635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9"/>
                          <a:stretch>
                            <a:fillRect/>
                          </a:stretch>
                        </pic:blipFill>
                        <pic:spPr>
                          <a:xfrm>
                            <a:off x="0" y="0"/>
                            <a:ext cx="5255895" cy="2051050"/>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查阅相关文献《中国农村地区生物质成型燃料燃烧的汞排放研究》，生物质成型燃料汞及其化合物的平均含量为11.60ng/g。</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本项目生物质成型燃料</w:t>
            </w:r>
            <w:r>
              <w:rPr>
                <w:rFonts w:hint="default" w:ascii="Times New Roman" w:hAnsi="Times New Roman" w:eastAsia="宋体" w:cs="Times New Roman"/>
                <w:color w:val="auto"/>
                <w:sz w:val="24"/>
                <w:szCs w:val="24"/>
                <w:highlight w:val="none"/>
              </w:rPr>
              <w:t>消耗量为</w:t>
            </w:r>
            <w:r>
              <w:rPr>
                <w:rFonts w:hint="default" w:ascii="Times New Roman" w:hAnsi="Times New Roman" w:eastAsia="宋体" w:cs="Times New Roman"/>
                <w:color w:val="auto"/>
                <w:sz w:val="24"/>
                <w:szCs w:val="24"/>
                <w:highlight w:val="none"/>
                <w:lang w:val="en-US" w:eastAsia="zh-CN"/>
              </w:rPr>
              <w:t>1640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则1台</w:t>
            </w:r>
            <w:r>
              <w:rPr>
                <w:rFonts w:hint="eastAsia" w:ascii="Times New Roman" w:hAnsi="Times New Roman" w:eastAsia="宋体" w:cs="Times New Roman"/>
                <w:b w:val="0"/>
                <w:bCs w:val="0"/>
                <w:color w:val="auto"/>
                <w:kern w:val="0"/>
                <w:sz w:val="24"/>
                <w:szCs w:val="24"/>
                <w:highlight w:val="none"/>
                <w:lang w:val="en-US" w:eastAsia="zh-CN"/>
              </w:rPr>
              <w:t>7MW</w:t>
            </w:r>
            <w:r>
              <w:rPr>
                <w:rFonts w:hint="default" w:ascii="Times New Roman" w:hAnsi="Times New Roman" w:eastAsia="宋体" w:cs="Times New Roman"/>
                <w:b w:val="0"/>
                <w:bCs w:val="0"/>
                <w:color w:val="auto"/>
                <w:kern w:val="0"/>
                <w:sz w:val="24"/>
                <w:szCs w:val="24"/>
                <w:highlight w:val="none"/>
                <w:lang w:val="en-US" w:eastAsia="zh-CN"/>
              </w:rPr>
              <w:t>生物质热水锅炉</w:t>
            </w:r>
            <w:r>
              <w:rPr>
                <w:rFonts w:hint="default" w:ascii="Times New Roman" w:hAnsi="Times New Roman" w:eastAsia="宋体" w:cs="Times New Roman"/>
                <w:color w:val="auto"/>
                <w:sz w:val="24"/>
                <w:szCs w:val="24"/>
                <w:highlight w:val="none"/>
              </w:rPr>
              <w:t>汞及其化合物产生量=</w:t>
            </w:r>
            <w:r>
              <w:rPr>
                <w:rFonts w:hint="default" w:ascii="Times New Roman" w:hAnsi="Times New Roman" w:eastAsia="宋体" w:cs="Times New Roman"/>
                <w:color w:val="auto"/>
                <w:sz w:val="24"/>
                <w:szCs w:val="24"/>
                <w:highlight w:val="none"/>
                <w:lang w:val="en-US" w:eastAsia="zh-CN"/>
              </w:rPr>
              <w:t>1640t/a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11.60ng</w:t>
            </w:r>
            <w:r>
              <w:rPr>
                <w:rFonts w:hint="default" w:ascii="Times New Roman" w:hAnsi="Times New Roman" w:eastAsia="宋体" w:cs="Times New Roman"/>
                <w:color w:val="auto"/>
                <w:sz w:val="24"/>
                <w:szCs w:val="24"/>
                <w:highlight w:val="none"/>
              </w:rPr>
              <w:t>/g×</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0.000019t/a</w:t>
            </w:r>
            <w:r>
              <w:rPr>
                <w:rFonts w:hint="default" w:ascii="Times New Roman" w:hAnsi="Times New Roman" w:eastAsia="宋体" w:cs="Times New Roman"/>
                <w:color w:val="auto"/>
                <w:sz w:val="24"/>
                <w:szCs w:val="24"/>
                <w:highlight w:val="none"/>
              </w:rPr>
              <w:t>。</w:t>
            </w:r>
          </w:p>
          <w:p>
            <w:pPr>
              <w:pStyle w:val="10"/>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布袋除尘器</w:t>
            </w:r>
            <w:r>
              <w:rPr>
                <w:rFonts w:hint="default" w:ascii="Times New Roman" w:hAnsi="Times New Roman" w:eastAsia="宋体" w:cs="Times New Roman"/>
                <w:color w:val="auto"/>
                <w:sz w:val="24"/>
                <w:szCs w:val="20"/>
                <w:lang w:val="en-US" w:eastAsia="zh-CN"/>
              </w:rPr>
              <w:t>+单碱法脱硫塔</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
                <w:sz w:val="24"/>
                <w:szCs w:val="24"/>
                <w:lang w:val="en-US" w:eastAsia="zh-CN" w:bidi="ar"/>
              </w:rPr>
              <w:t>烟气除尘和湿法脱硫等污染防治对汞及其化合物具有协同脱出效果，脱除效率约为70%，本项目取30%，</w:t>
            </w:r>
          </w:p>
          <w:p>
            <w:pPr>
              <w:pStyle w:val="10"/>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sz w:val="24"/>
                <w:szCs w:val="24"/>
                <w:lang w:val="en-US" w:eastAsia="zh-CN"/>
              </w:rPr>
              <w:t>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lang w:val="en-US" w:eastAsia="zh-CN"/>
              </w:rPr>
              <w:t>生物质热水锅炉</w:t>
            </w:r>
            <w:r>
              <w:rPr>
                <w:rFonts w:hint="default" w:ascii="Times New Roman" w:hAnsi="Times New Roman" w:eastAsia="宋体" w:cs="Times New Roman"/>
                <w:color w:val="auto"/>
                <w:kern w:val="2"/>
                <w:sz w:val="24"/>
                <w:szCs w:val="24"/>
                <w:lang w:val="en-US" w:eastAsia="zh-CN" w:bidi="ar"/>
              </w:rPr>
              <w:t>汞及其化合物排放量为0.000013t/a。</w:t>
            </w:r>
          </w:p>
          <w:p>
            <w:pPr>
              <w:pStyle w:val="10"/>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lang w:eastAsia="zh-CN"/>
              </w:rPr>
              <w:t>项目1台</w:t>
            </w:r>
            <w:r>
              <w:rPr>
                <w:rFonts w:hint="eastAsia" w:ascii="Times New Roman" w:hAnsi="Times New Roman" w:eastAsia="宋体" w:cs="Times New Roman"/>
                <w:color w:val="auto"/>
                <w:sz w:val="24"/>
                <w:szCs w:val="24"/>
                <w:lang w:val="en-US" w:eastAsia="zh-CN"/>
              </w:rPr>
              <w:t>7MW</w:t>
            </w:r>
            <w:r>
              <w:rPr>
                <w:rFonts w:hint="default" w:ascii="Times New Roman" w:hAnsi="Times New Roman" w:eastAsia="宋体" w:cs="Times New Roman"/>
                <w:color w:val="auto"/>
                <w:sz w:val="24"/>
                <w:szCs w:val="24"/>
                <w:lang w:eastAsia="zh-CN"/>
              </w:rPr>
              <w:t>生物质热水锅炉废气的</w:t>
            </w:r>
            <w:r>
              <w:rPr>
                <w:rFonts w:hint="default" w:ascii="Times New Roman" w:hAnsi="Times New Roman" w:eastAsia="宋体" w:cs="Times New Roman"/>
                <w:color w:val="auto"/>
                <w:sz w:val="24"/>
                <w:szCs w:val="24"/>
              </w:rPr>
              <w:t>产排情况见表</w:t>
            </w:r>
            <w:r>
              <w:rPr>
                <w:rFonts w:hint="default" w:ascii="Times New Roman" w:hAnsi="Times New Roman" w:eastAsia="宋体" w:cs="Times New Roman"/>
                <w:color w:val="auto"/>
                <w:sz w:val="24"/>
                <w:szCs w:val="24"/>
                <w:lang w:val="en-US" w:eastAsia="zh-CN"/>
              </w:rPr>
              <w:t>4-2</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4-2   生物质锅炉废气</w:t>
            </w:r>
            <w:r>
              <w:rPr>
                <w:rFonts w:hint="default" w:ascii="Times New Roman" w:hAnsi="Times New Roman" w:eastAsia="宋体" w:cs="Times New Roman"/>
                <w:b/>
                <w:bCs/>
                <w:color w:val="auto"/>
                <w:sz w:val="24"/>
                <w:szCs w:val="24"/>
              </w:rPr>
              <w:t>污染物</w:t>
            </w:r>
            <w:r>
              <w:rPr>
                <w:rFonts w:hint="default" w:ascii="Times New Roman" w:hAnsi="Times New Roman" w:eastAsia="宋体" w:cs="Times New Roman"/>
                <w:b/>
                <w:bCs/>
                <w:color w:val="auto"/>
                <w:sz w:val="24"/>
                <w:szCs w:val="24"/>
                <w:lang w:val="en-US" w:eastAsia="zh-CN"/>
              </w:rPr>
              <w:t>产排</w:t>
            </w:r>
            <w:r>
              <w:rPr>
                <w:rFonts w:hint="default" w:ascii="Times New Roman" w:hAnsi="Times New Roman" w:eastAsia="宋体" w:cs="Times New Roman"/>
                <w:b/>
                <w:bCs/>
                <w:color w:val="auto"/>
                <w:sz w:val="24"/>
                <w:szCs w:val="24"/>
              </w:rPr>
              <w:t>情况</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803"/>
              <w:gridCol w:w="761"/>
              <w:gridCol w:w="882"/>
              <w:gridCol w:w="883"/>
              <w:gridCol w:w="883"/>
              <w:gridCol w:w="883"/>
              <w:gridCol w:w="883"/>
              <w:gridCol w:w="884"/>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燃料名称</w:t>
                  </w:r>
                </w:p>
              </w:tc>
              <w:tc>
                <w:tcPr>
                  <w:tcW w:w="80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风机风量</w:t>
                  </w:r>
                </w:p>
              </w:tc>
              <w:tc>
                <w:tcPr>
                  <w:tcW w:w="76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88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88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产生浓度mg/m</w:t>
                  </w:r>
                  <w:r>
                    <w:rPr>
                      <w:rFonts w:hint="default" w:ascii="Times New Roman" w:hAnsi="Times New Roman" w:eastAsia="宋体" w:cs="Times New Roman"/>
                      <w:color w:val="auto"/>
                      <w:sz w:val="21"/>
                      <w:szCs w:val="21"/>
                      <w:vertAlign w:val="superscript"/>
                    </w:rPr>
                    <w:t>3</w:t>
                  </w:r>
                </w:p>
              </w:tc>
              <w:tc>
                <w:tcPr>
                  <w:tcW w:w="88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环保措施</w:t>
                  </w:r>
                </w:p>
              </w:tc>
              <w:tc>
                <w:tcPr>
                  <w:tcW w:w="88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排放量</w:t>
                  </w:r>
                  <w:r>
                    <w:rPr>
                      <w:rFonts w:hint="default" w:ascii="Times New Roman" w:hAnsi="Times New Roman" w:eastAsia="宋体" w:cs="Times New Roman"/>
                      <w:color w:val="auto"/>
                      <w:sz w:val="21"/>
                      <w:szCs w:val="21"/>
                    </w:rPr>
                    <w:t>t/a</w:t>
                  </w:r>
                </w:p>
              </w:tc>
              <w:tc>
                <w:tcPr>
                  <w:tcW w:w="88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排放</w:t>
                  </w: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p>
              </w:tc>
              <w:tc>
                <w:tcPr>
                  <w:tcW w:w="884"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排放限值</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生物质燃料</w:t>
                  </w:r>
                </w:p>
              </w:tc>
              <w:tc>
                <w:tcPr>
                  <w:tcW w:w="803"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76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8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0.82</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126.5</w:t>
                  </w:r>
                </w:p>
              </w:tc>
              <w:tc>
                <w:tcPr>
                  <w:tcW w:w="883" w:type="dxa"/>
                  <w:vMerge w:val="restart"/>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多管旋风除尘器+布袋除尘器+钠碱法脱硫塔</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803"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76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二氧化硫</w:t>
                  </w:r>
                </w:p>
              </w:tc>
              <w:tc>
                <w:tcPr>
                  <w:tcW w:w="8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1.95</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300.9</w:t>
                  </w:r>
                </w:p>
              </w:tc>
              <w:tc>
                <w:tcPr>
                  <w:tcW w:w="883"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0.39</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60.2</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300</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803"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76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氮氧化物</w:t>
                  </w:r>
                </w:p>
              </w:tc>
              <w:tc>
                <w:tcPr>
                  <w:tcW w:w="8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1.67</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257.7</w:t>
                  </w:r>
                </w:p>
              </w:tc>
              <w:tc>
                <w:tcPr>
                  <w:tcW w:w="883"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1.67</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257.7</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300</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803"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76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汞及其化合物</w:t>
                  </w:r>
                </w:p>
              </w:tc>
              <w:tc>
                <w:tcPr>
                  <w:tcW w:w="8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0.000019</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0.003</w:t>
                  </w:r>
                </w:p>
              </w:tc>
              <w:tc>
                <w:tcPr>
                  <w:tcW w:w="883"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0.000013</w:t>
                  </w:r>
                </w:p>
              </w:tc>
              <w:tc>
                <w:tcPr>
                  <w:tcW w:w="8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0.002</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88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由表4-</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得知，本项目1台</w:t>
            </w:r>
            <w:r>
              <w:rPr>
                <w:rFonts w:hint="eastAsia" w:ascii="Times New Roman" w:hAnsi="Times New Roman" w:eastAsia="宋体" w:cs="Times New Roman"/>
                <w:color w:val="auto"/>
                <w:sz w:val="24"/>
                <w:highlight w:val="none"/>
                <w:lang w:eastAsia="zh-CN"/>
              </w:rPr>
              <w:t>7MW</w:t>
            </w:r>
            <w:r>
              <w:rPr>
                <w:rFonts w:hint="default" w:ascii="Times New Roman" w:hAnsi="Times New Roman" w:eastAsia="宋体" w:cs="Times New Roman"/>
                <w:color w:val="auto"/>
                <w:sz w:val="24"/>
                <w:szCs w:val="32"/>
                <w:highlight w:val="none"/>
                <w:lang w:eastAsia="zh-CN"/>
              </w:rPr>
              <w:t>生物质热水锅炉</w:t>
            </w:r>
            <w:r>
              <w:rPr>
                <w:rFonts w:hint="default" w:ascii="Times New Roman" w:hAnsi="Times New Roman" w:eastAsia="宋体" w:cs="Times New Roman"/>
                <w:color w:val="auto"/>
                <w:sz w:val="24"/>
                <w:highlight w:val="none"/>
              </w:rPr>
              <w:t>废气污染物颗粒物、SO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、汞及其化合物排放浓度均符合</w:t>
            </w:r>
            <w:r>
              <w:rPr>
                <w:rFonts w:hint="default" w:ascii="Times New Roman" w:hAnsi="Times New Roman" w:eastAsia="宋体" w:cs="Times New Roman"/>
                <w:bCs/>
                <w:color w:val="auto"/>
                <w:sz w:val="24"/>
                <w:highlight w:val="none"/>
              </w:rPr>
              <w:t>《锅炉大气污染物排放标准》</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GB13271-2014）表2新建锅炉大气污染物排放浓度限值中燃煤锅炉的排放浓度限值</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1.1.2灰渣间粉尘</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szCs w:val="32"/>
                <w:highlight w:val="none"/>
              </w:rPr>
              <w:t>锅炉</w:t>
            </w:r>
            <w:r>
              <w:rPr>
                <w:rFonts w:hint="default" w:ascii="Times New Roman" w:hAnsi="Times New Roman" w:eastAsia="宋体" w:cs="Times New Roman"/>
                <w:bCs/>
                <w:color w:val="auto"/>
                <w:sz w:val="24"/>
                <w:highlight w:val="none"/>
                <w:lang w:val="en-US" w:eastAsia="zh-CN"/>
              </w:rPr>
              <w:t>炉渣</w:t>
            </w:r>
            <w:r>
              <w:rPr>
                <w:rFonts w:hint="default" w:ascii="Times New Roman" w:hAnsi="Times New Roman" w:eastAsia="宋体" w:cs="Times New Roman"/>
                <w:bCs/>
                <w:color w:val="auto"/>
                <w:sz w:val="24"/>
                <w:highlight w:val="none"/>
                <w:lang w:eastAsia="zh-CN"/>
              </w:rPr>
              <w:t>年产生</w:t>
            </w:r>
            <w:r>
              <w:rPr>
                <w:rFonts w:hint="default" w:ascii="Times New Roman" w:hAnsi="Times New Roman" w:eastAsia="宋体" w:cs="Times New Roman"/>
                <w:bCs/>
                <w:color w:val="auto"/>
                <w:sz w:val="24"/>
                <w:highlight w:val="none"/>
              </w:rPr>
              <w:t>量为</w:t>
            </w:r>
            <w:r>
              <w:rPr>
                <w:rFonts w:hint="default" w:ascii="Times New Roman" w:hAnsi="Times New Roman" w:eastAsia="宋体" w:cs="Times New Roman"/>
                <w:bCs/>
                <w:color w:val="auto"/>
                <w:sz w:val="24"/>
                <w:highlight w:val="none"/>
                <w:lang w:val="en-US" w:eastAsia="zh-CN"/>
              </w:rPr>
              <w:t>216.4</w:t>
            </w:r>
            <w:r>
              <w:rPr>
                <w:rFonts w:hint="default" w:ascii="Times New Roman" w:hAnsi="Times New Roman" w:eastAsia="宋体" w:cs="Times New Roman"/>
                <w:bCs/>
                <w:color w:val="auto"/>
                <w:sz w:val="24"/>
                <w:highlight w:val="none"/>
              </w:rPr>
              <w:t>t/a，</w:t>
            </w:r>
            <w:r>
              <w:rPr>
                <w:rFonts w:hint="default" w:ascii="Times New Roman" w:hAnsi="Times New Roman" w:eastAsia="宋体" w:cs="Times New Roman"/>
                <w:bCs/>
                <w:color w:val="auto"/>
                <w:sz w:val="24"/>
                <w:highlight w:val="none"/>
                <w:lang w:val="en-US" w:eastAsia="zh-CN"/>
              </w:rPr>
              <w:t>除尘灰</w:t>
            </w:r>
            <w:r>
              <w:rPr>
                <w:rFonts w:hint="default" w:ascii="Times New Roman" w:hAnsi="Times New Roman" w:eastAsia="宋体" w:cs="Times New Roman"/>
                <w:bCs/>
                <w:color w:val="auto"/>
                <w:sz w:val="24"/>
                <w:highlight w:val="none"/>
                <w:lang w:eastAsia="zh-CN"/>
              </w:rPr>
              <w:t>年产生</w:t>
            </w:r>
            <w:r>
              <w:rPr>
                <w:rFonts w:hint="default" w:ascii="Times New Roman" w:hAnsi="Times New Roman" w:eastAsia="宋体" w:cs="Times New Roman"/>
                <w:bCs/>
                <w:color w:val="auto"/>
                <w:sz w:val="24"/>
                <w:highlight w:val="none"/>
              </w:rPr>
              <w:t>量为</w:t>
            </w:r>
            <w:r>
              <w:rPr>
                <w:rFonts w:hint="default" w:ascii="Times New Roman" w:hAnsi="Times New Roman" w:eastAsia="宋体" w:cs="Times New Roman"/>
                <w:bCs/>
                <w:color w:val="auto"/>
                <w:sz w:val="24"/>
                <w:highlight w:val="none"/>
                <w:lang w:val="en-US" w:eastAsia="zh-CN"/>
              </w:rPr>
              <w:t>0.8t</w:t>
            </w:r>
            <w:r>
              <w:rPr>
                <w:rFonts w:hint="default" w:ascii="Times New Roman" w:hAnsi="Times New Roman" w:eastAsia="宋体" w:cs="Times New Roman"/>
                <w:bCs/>
                <w:color w:val="auto"/>
                <w:sz w:val="24"/>
                <w:highlight w:val="none"/>
              </w:rPr>
              <w:t>/a，</w:t>
            </w:r>
            <w:r>
              <w:rPr>
                <w:rFonts w:hint="default" w:ascii="Times New Roman" w:hAnsi="Times New Roman" w:eastAsia="宋体" w:cs="Times New Roman"/>
                <w:color w:val="auto"/>
                <w:sz w:val="24"/>
                <w:highlight w:val="none"/>
              </w:rPr>
              <w:t>暂存于全封闭灰渣间内</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装卸过程中会产生粉尘，参照《逸散性工业粉尘控制技术》“卸料”按0.01kg/t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卸料）计算，则灰渣间粉尘产生量为0.0</w:t>
            </w:r>
            <w:r>
              <w:rPr>
                <w:rFonts w:hint="default" w:ascii="Times New Roman" w:hAnsi="Times New Roman" w:eastAsia="宋体" w:cs="Times New Roman"/>
                <w:color w:val="auto"/>
                <w:sz w:val="24"/>
                <w:highlight w:val="none"/>
                <w:lang w:val="en-US" w:eastAsia="zh-CN"/>
              </w:rPr>
              <w:t>02</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color w:val="auto"/>
                <w:sz w:val="24"/>
                <w:szCs w:val="32"/>
                <w:highlight w:val="none"/>
              </w:rPr>
              <w:t>锅炉</w:t>
            </w:r>
            <w:r>
              <w:rPr>
                <w:rFonts w:hint="default" w:ascii="Times New Roman" w:hAnsi="Times New Roman" w:eastAsia="宋体" w:cs="Times New Roman"/>
                <w:bCs/>
                <w:color w:val="auto"/>
                <w:sz w:val="24"/>
                <w:highlight w:val="none"/>
              </w:rPr>
              <w:t>灰渣</w:t>
            </w:r>
            <w:r>
              <w:rPr>
                <w:rFonts w:hint="default" w:ascii="Times New Roman" w:hAnsi="Times New Roman" w:eastAsia="宋体" w:cs="Times New Roman"/>
                <w:color w:val="auto"/>
                <w:sz w:val="24"/>
                <w:highlight w:val="none"/>
              </w:rPr>
              <w:t>卸载</w:t>
            </w:r>
            <w:r>
              <w:rPr>
                <w:rFonts w:hint="default" w:ascii="Times New Roman" w:hAnsi="Times New Roman" w:eastAsia="宋体" w:cs="Times New Roman"/>
                <w:bCs/>
                <w:color w:val="auto"/>
                <w:sz w:val="24"/>
                <w:highlight w:val="none"/>
              </w:rPr>
              <w:t>过程中均在全封闭灰渣间内进行，并进行洒水抑尘，</w:t>
            </w:r>
            <w:r>
              <w:rPr>
                <w:rFonts w:hint="default" w:ascii="Times New Roman" w:hAnsi="Times New Roman" w:eastAsia="宋体" w:cs="Times New Roman"/>
                <w:color w:val="auto"/>
                <w:sz w:val="24"/>
                <w:highlight w:val="none"/>
              </w:rPr>
              <w:t>抑尘率按</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0%计，则灰渣间粉尘排放量为0.00</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t/a；同时企业加强卸料环节作业管理，及时清理散落的粉尘，防止造成二次污染。</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1.1.</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大气污染物产生和排放情况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本项目大气污染源治理情况汇总表见表4-</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大气污染物产生、排放、治理情况汇总表</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7"/>
              <w:gridCol w:w="827"/>
              <w:gridCol w:w="827"/>
              <w:gridCol w:w="828"/>
              <w:gridCol w:w="828"/>
              <w:gridCol w:w="828"/>
              <w:gridCol w:w="828"/>
              <w:gridCol w:w="828"/>
              <w:gridCol w:w="828"/>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7"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827"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排放方式</w:t>
                  </w:r>
                </w:p>
              </w:tc>
              <w:tc>
                <w:tcPr>
                  <w:tcW w:w="827"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污染因子</w:t>
                  </w:r>
                </w:p>
              </w:tc>
              <w:tc>
                <w:tcPr>
                  <w:tcW w:w="1656" w:type="dxa"/>
                  <w:gridSpan w:val="2"/>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污染物产生情况</w:t>
                  </w:r>
                </w:p>
              </w:tc>
              <w:tc>
                <w:tcPr>
                  <w:tcW w:w="828"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c>
                <w:tcPr>
                  <w:tcW w:w="1656" w:type="dxa"/>
                  <w:gridSpan w:val="2"/>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污染物排放情况</w:t>
                  </w:r>
                </w:p>
              </w:tc>
              <w:tc>
                <w:tcPr>
                  <w:tcW w:w="828"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运行时间h/a</w:t>
                  </w:r>
                </w:p>
              </w:tc>
              <w:tc>
                <w:tcPr>
                  <w:tcW w:w="828"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7"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7"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7"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828"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828"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7" w:type="dxa"/>
                  <w:vMerge w:val="restart"/>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7MW</w:t>
                  </w:r>
                  <w:r>
                    <w:rPr>
                      <w:rFonts w:hint="default" w:ascii="Times New Roman" w:hAnsi="Times New Roman" w:eastAsia="宋体" w:cs="Times New Roman"/>
                      <w:color w:val="auto"/>
                      <w:sz w:val="21"/>
                      <w:szCs w:val="21"/>
                      <w:highlight w:val="none"/>
                      <w:lang w:eastAsia="zh-CN"/>
                    </w:rPr>
                    <w:t>生物质热水锅炉</w:t>
                  </w:r>
                </w:p>
              </w:tc>
              <w:tc>
                <w:tcPr>
                  <w:tcW w:w="827"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w:t>
                  </w:r>
                </w:p>
              </w:tc>
              <w:tc>
                <w:tcPr>
                  <w:tcW w:w="827"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126.5</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0.82</w:t>
                  </w:r>
                </w:p>
              </w:tc>
              <w:tc>
                <w:tcPr>
                  <w:tcW w:w="828"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bidi="ar-SA"/>
                    </w:rPr>
                    <w:t>多管旋风除尘器+布袋除尘器+钠碱法脱硫塔</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w:t>
                  </w:r>
                </w:p>
              </w:tc>
              <w:tc>
                <w:tcPr>
                  <w:tcW w:w="828" w:type="dxa"/>
                  <w:vMerge w:val="restart"/>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4320</w:t>
                  </w:r>
                </w:p>
              </w:tc>
              <w:tc>
                <w:tcPr>
                  <w:tcW w:w="828" w:type="dxa"/>
                  <w:vMerge w:val="restart"/>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《锅炉大气污染物排放标准》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GB13271-2014）表2新建锅炉大气污染物排放浓度限值中燃煤锅炉的排放浓度限值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7" w:type="dxa"/>
                  <w:vMerge w:val="continue"/>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827"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7"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300.9</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1.95</w:t>
                  </w: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60.2</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0.39</w:t>
                  </w: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vMerge w:val="continue"/>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7" w:type="dxa"/>
                  <w:vMerge w:val="continue"/>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827"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7"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257.7</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1.67</w:t>
                  </w: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257.7</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1.67</w:t>
                  </w: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vMerge w:val="continue"/>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27" w:type="dxa"/>
                  <w:vMerge w:val="continue"/>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827"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7"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汞及其化合物</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0.003</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0.000019</w:t>
                  </w: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0.002</w:t>
                  </w:r>
                </w:p>
              </w:tc>
              <w:tc>
                <w:tcPr>
                  <w:tcW w:w="828" w:type="dxa"/>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0.000013</w:t>
                  </w:r>
                </w:p>
              </w:tc>
              <w:tc>
                <w:tcPr>
                  <w:tcW w:w="828" w:type="dxa"/>
                  <w:vMerge w:val="continue"/>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p>
              </w:tc>
              <w:tc>
                <w:tcPr>
                  <w:tcW w:w="828" w:type="dxa"/>
                  <w:vMerge w:val="continue"/>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7"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灰渣间</w:t>
                  </w:r>
                </w:p>
              </w:tc>
              <w:tc>
                <w:tcPr>
                  <w:tcW w:w="827"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tc>
              <w:tc>
                <w:tcPr>
                  <w:tcW w:w="827"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28"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28"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828"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全封闭库+洒水降尘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降尘效率60%</w:t>
                  </w:r>
                  <w:r>
                    <w:rPr>
                      <w:rFonts w:hint="default" w:ascii="Times New Roman" w:hAnsi="Times New Roman" w:eastAsia="宋体" w:cs="Times New Roman"/>
                      <w:color w:val="auto"/>
                      <w:sz w:val="21"/>
                      <w:szCs w:val="21"/>
                      <w:highlight w:val="none"/>
                      <w:lang w:eastAsia="zh-CN"/>
                    </w:rPr>
                    <w:t>）</w:t>
                  </w:r>
                </w:p>
              </w:tc>
              <w:tc>
                <w:tcPr>
                  <w:tcW w:w="828"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28" w:type="dxa"/>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828"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4320</w:t>
                  </w:r>
                </w:p>
              </w:tc>
              <w:tc>
                <w:tcPr>
                  <w:tcW w:w="828" w:type="dxa"/>
                  <w:tcMar>
                    <w:left w:w="28" w:type="dxa"/>
                    <w:right w:w="2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GB16297-1996）表2新污染源大气污染物排放限值中“无组织排放监控浓度限值”1.0mg/m</w:t>
                  </w:r>
                  <w:r>
                    <w:rPr>
                      <w:rFonts w:hint="default" w:ascii="Times New Roman" w:hAnsi="Times New Roman" w:eastAsia="宋体" w:cs="Times New Roman"/>
                      <w:color w:val="auto"/>
                      <w:sz w:val="21"/>
                      <w:szCs w:val="21"/>
                      <w:highlight w:val="none"/>
                      <w:vertAlign w:val="superscript"/>
                    </w:rPr>
                    <w:t>3</w:t>
                  </w:r>
                </w:p>
              </w:tc>
            </w:tr>
          </w:tbl>
          <w:p>
            <w:pPr>
              <w:widowControl w:val="0"/>
              <w:snapToGrid/>
              <w:spacing w:line="360" w:lineRule="auto"/>
              <w:ind w:firstLine="48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1.2</w:t>
            </w:r>
            <w:r>
              <w:rPr>
                <w:rFonts w:hint="default" w:ascii="Times New Roman" w:hAnsi="Times New Roman" w:eastAsia="宋体" w:cs="Times New Roman"/>
                <w:b/>
                <w:bCs/>
                <w:color w:val="auto"/>
                <w:sz w:val="24"/>
                <w:szCs w:val="24"/>
                <w:highlight w:val="none"/>
                <w:lang w:val="en-US" w:eastAsia="zh-CN"/>
              </w:rPr>
              <w:t>环保措施可行性分析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val="en-US" w:eastAsia="zh-CN"/>
              </w:rPr>
              <w:t>1</w:t>
            </w: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val="en-US" w:eastAsia="zh-CN"/>
              </w:rPr>
              <w:t>生物质</w:t>
            </w:r>
            <w:r>
              <w:rPr>
                <w:rFonts w:hint="default" w:ascii="Times New Roman" w:hAnsi="Times New Roman" w:eastAsia="宋体" w:cs="Times New Roman"/>
                <w:bCs/>
                <w:color w:val="auto"/>
                <w:kern w:val="0"/>
                <w:sz w:val="24"/>
                <w:highlight w:val="none"/>
                <w:lang w:eastAsia="zh-CN"/>
              </w:rPr>
              <w:t>燃料与灰渣储存于封闭库内，属于《排污许可证申请与核发技术规范 锅炉》（HJ953-2018）中可行技术--密闭措施。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eastAsia="zh-CN"/>
              </w:rPr>
              <w:t>）本</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color w:val="auto"/>
                <w:sz w:val="24"/>
                <w:highlight w:val="none"/>
                <w:lang w:eastAsia="zh-CN"/>
              </w:rPr>
              <w:t>7MW</w:t>
            </w:r>
            <w:r>
              <w:rPr>
                <w:rFonts w:hint="default" w:ascii="Times New Roman" w:hAnsi="Times New Roman" w:eastAsia="宋体" w:cs="Times New Roman"/>
                <w:color w:val="auto"/>
                <w:sz w:val="24"/>
                <w:szCs w:val="32"/>
                <w:highlight w:val="none"/>
                <w:lang w:eastAsia="zh-CN"/>
              </w:rPr>
              <w:t>生物质热水锅炉</w:t>
            </w:r>
            <w:r>
              <w:rPr>
                <w:rFonts w:hint="default" w:ascii="Times New Roman" w:hAnsi="Times New Roman" w:eastAsia="宋体" w:cs="Times New Roman"/>
                <w:bCs/>
                <w:color w:val="auto"/>
                <w:kern w:val="0"/>
                <w:sz w:val="24"/>
                <w:highlight w:val="none"/>
              </w:rPr>
              <w:t>排放的颗粒物治理措施为1台</w:t>
            </w:r>
            <w:r>
              <w:rPr>
                <w:rFonts w:hint="default" w:ascii="Times New Roman" w:hAnsi="Times New Roman" w:eastAsia="宋体" w:cs="Times New Roman"/>
                <w:bCs/>
                <w:color w:val="auto"/>
                <w:kern w:val="0"/>
                <w:sz w:val="24"/>
                <w:highlight w:val="none"/>
                <w:lang w:eastAsia="zh-CN"/>
              </w:rPr>
              <w:t>多管旋风</w:t>
            </w:r>
            <w:r>
              <w:rPr>
                <w:rFonts w:hint="default" w:ascii="Times New Roman" w:hAnsi="Times New Roman" w:eastAsia="宋体" w:cs="Times New Roman"/>
                <w:bCs/>
                <w:color w:val="auto"/>
                <w:kern w:val="0"/>
                <w:sz w:val="24"/>
                <w:highlight w:val="none"/>
              </w:rPr>
              <w:t>除尘器</w:t>
            </w:r>
            <w:r>
              <w:rPr>
                <w:rFonts w:hint="default" w:ascii="Times New Roman" w:hAnsi="Times New Roman" w:eastAsia="宋体" w:cs="Times New Roman"/>
                <w:bCs/>
                <w:color w:val="auto"/>
                <w:kern w:val="0"/>
                <w:sz w:val="24"/>
                <w:highlight w:val="none"/>
                <w:lang w:val="en-US" w:eastAsia="zh-CN"/>
              </w:rPr>
              <w:t>+1</w:t>
            </w:r>
            <w:r>
              <w:rPr>
                <w:rFonts w:hint="default" w:ascii="Times New Roman" w:hAnsi="Times New Roman" w:eastAsia="宋体" w:cs="Times New Roman"/>
                <w:bCs/>
                <w:color w:val="auto"/>
                <w:kern w:val="0"/>
                <w:sz w:val="24"/>
                <w:highlight w:val="none"/>
                <w:lang w:eastAsia="zh-CN"/>
              </w:rPr>
              <w:t>台布袋除尘器</w:t>
            </w:r>
            <w:r>
              <w:rPr>
                <w:rFonts w:hint="default" w:ascii="Times New Roman" w:hAnsi="Times New Roman" w:eastAsia="宋体" w:cs="Times New Roman"/>
                <w:bCs/>
                <w:color w:val="auto"/>
                <w:kern w:val="0"/>
                <w:sz w:val="24"/>
                <w:highlight w:val="none"/>
                <w:lang w:val="en-US" w:eastAsia="zh-CN"/>
              </w:rPr>
              <w:t>+1台钠碱法脱硫塔</w:t>
            </w:r>
            <w:r>
              <w:rPr>
                <w:rFonts w:hint="default" w:ascii="Times New Roman" w:hAnsi="Times New Roman" w:eastAsia="宋体" w:cs="Times New Roman"/>
                <w:bCs/>
                <w:color w:val="auto"/>
                <w:kern w:val="0"/>
                <w:sz w:val="24"/>
                <w:highlight w:val="none"/>
                <w:lang w:eastAsia="zh-CN"/>
              </w:rPr>
              <w:t>，污染物颗粒物的防治措施属于《排污许可证申请与核发技术规范 锅炉》（HJ953-2018）中可行技术--袋式除尘技术；污染物二氧化硫的防治措施《排污许可证申请与核发技术规范 锅炉》（HJ953-2018）中可行技术--湿法脱硫技术。</w:t>
            </w:r>
          </w:p>
          <w:p>
            <w:pPr>
              <w:spacing w:line="360" w:lineRule="auto"/>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color w:val="auto"/>
                <w:sz w:val="24"/>
                <w:highlight w:val="none"/>
              </w:rPr>
              <w:t>因此，本</w:t>
            </w: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废气治理措施可行。</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2、废水产排情况及治理措施可行性分析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本项目运营期废水主要为软水制备废水、锅炉定期排污水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生活污水</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1）锅炉定期排污水</w:t>
            </w:r>
          </w:p>
          <w:p>
            <w:pPr>
              <w:pStyle w:val="10"/>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本项目1台</w:t>
            </w:r>
            <w:r>
              <w:rPr>
                <w:rFonts w:hint="eastAsia" w:ascii="Times New Roman" w:hAnsi="Times New Roman" w:eastAsia="宋体" w:cs="Times New Roman"/>
                <w:color w:val="auto"/>
                <w:highlight w:val="none"/>
                <w:lang w:val="en-US" w:eastAsia="zh-CN"/>
              </w:rPr>
              <w:t>7MW</w:t>
            </w:r>
            <w:r>
              <w:rPr>
                <w:rFonts w:hint="default" w:ascii="Times New Roman" w:hAnsi="Times New Roman" w:eastAsia="宋体" w:cs="Times New Roman"/>
                <w:color w:val="auto"/>
                <w:highlight w:val="none"/>
                <w:lang w:eastAsia="zh-CN"/>
              </w:rPr>
              <w:t>生物质热水锅炉</w:t>
            </w:r>
            <w:r>
              <w:rPr>
                <w:rFonts w:hint="default" w:ascii="Times New Roman" w:hAnsi="Times New Roman" w:eastAsia="宋体" w:cs="Times New Roman"/>
                <w:color w:val="auto"/>
                <w:highlight w:val="none"/>
              </w:rPr>
              <w:t>排污水按循环水量的2%计算，则锅炉排污水排放量为</w:t>
            </w:r>
            <w:r>
              <w:rPr>
                <w:rFonts w:hint="default" w:ascii="Times New Roman" w:hAnsi="Times New Roman" w:eastAsia="宋体" w:cs="Times New Roman"/>
                <w:color w:val="auto"/>
                <w:sz w:val="24"/>
                <w:highlight w:val="none"/>
              </w:rPr>
              <w:t>0.</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864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highlight w:val="none"/>
              </w:rPr>
              <w:t>，用于灰渣库抑尘、出渣机补水、空地降尘洒水，不外排。</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2）软水制备废水</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color w:val="auto"/>
                <w:sz w:val="24"/>
                <w:highlight w:val="none"/>
              </w:rPr>
              <w:t>本项目软水制备装置排污量为</w:t>
            </w: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540</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/a），用于灰渣库抑尘、出渣机补水、空地降尘洒水，不外排。</w:t>
            </w:r>
          </w:p>
          <w:p>
            <w:pPr>
              <w:widowControl/>
              <w:spacing w:line="360" w:lineRule="auto"/>
              <w:ind w:firstLine="480" w:firstLineChars="200"/>
              <w:outlineLvl w:val="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3）出渣机废水</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出渣机废水循环使用，定期补水，不外排。</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）灰渣间抑尘废水</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灰渣间抑尘用水</w:t>
            </w:r>
            <w:r>
              <w:rPr>
                <w:rFonts w:hint="default" w:ascii="Times New Roman" w:hAnsi="Times New Roman" w:eastAsia="宋体" w:cs="Times New Roman"/>
                <w:color w:val="auto"/>
                <w:sz w:val="24"/>
                <w:highlight w:val="none"/>
              </w:rPr>
              <w:t>全部被灰渣吸收，通过自然蒸发，无废水产生</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）钠碱法脱硫塔</w:t>
            </w:r>
            <w:r>
              <w:rPr>
                <w:rFonts w:hint="default" w:ascii="Times New Roman" w:hAnsi="Times New Roman" w:eastAsia="宋体" w:cs="Times New Roman"/>
                <w:color w:val="auto"/>
                <w:sz w:val="24"/>
                <w:highlight w:val="none"/>
              </w:rPr>
              <w:t>废水</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钠碱法脱硫塔内脱硫废水经沉淀池沉淀后，进入清水池，加入片碱重新进入脱硫塔。</w:t>
            </w:r>
            <w:r>
              <w:rPr>
                <w:rFonts w:hint="default" w:ascii="Times New Roman" w:hAnsi="Times New Roman" w:eastAsia="宋体" w:cs="Times New Roman"/>
                <w:color w:val="auto"/>
                <w:sz w:val="24"/>
                <w:highlight w:val="none"/>
              </w:rPr>
              <w:t>循环使用，不外排</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生活污水</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lang w:eastAsia="zh-CN"/>
              </w:rPr>
              <w:t>生活污水产生量按用水量的80%计算，全厂生活污水产生量为</w:t>
            </w:r>
            <w:r>
              <w:rPr>
                <w:rFonts w:hint="default" w:ascii="Times New Roman" w:hAnsi="Times New Roman" w:eastAsia="宋体" w:cs="Times New Roman"/>
                <w:color w:val="auto"/>
                <w:sz w:val="24"/>
                <w:szCs w:val="24"/>
                <w:highlight w:val="none"/>
                <w:lang w:val="en-US" w:eastAsia="zh-CN"/>
              </w:rPr>
              <w:t>57.6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/a（</w:t>
            </w:r>
            <w:r>
              <w:rPr>
                <w:rFonts w:hint="default" w:ascii="Times New Roman" w:hAnsi="Times New Roman" w:eastAsia="宋体" w:cs="Times New Roman"/>
                <w:color w:val="auto"/>
                <w:sz w:val="24"/>
                <w:szCs w:val="24"/>
                <w:highlight w:val="none"/>
                <w:lang w:val="en-US" w:eastAsia="zh-CN"/>
              </w:rPr>
              <w:t>0.32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/d）</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综上，</w:t>
            </w:r>
            <w:r>
              <w:rPr>
                <w:rFonts w:hint="default" w:ascii="Times New Roman" w:hAnsi="Times New Roman" w:eastAsia="宋体" w:cs="Times New Roman"/>
                <w:color w:val="auto"/>
                <w:sz w:val="24"/>
                <w:highlight w:val="none"/>
              </w:rPr>
              <w:t>本项目生产废水均不外排，对周围水环境噪声无影响。</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3、噪声环境影响分析及防治措施</w:t>
            </w:r>
          </w:p>
          <w:p>
            <w:pPr>
              <w:spacing w:line="360" w:lineRule="auto"/>
              <w:ind w:firstLine="482" w:firstLineChars="200"/>
              <w:rPr>
                <w:rFonts w:hint="default" w:ascii="Times New Roman" w:hAnsi="Times New Roman" w:eastAsia="宋体" w:cs="Times New Roman"/>
                <w:b/>
                <w:bCs/>
                <w:snapToGrid w:val="0"/>
                <w:color w:val="auto"/>
                <w:kern w:val="0"/>
                <w:sz w:val="24"/>
                <w:highlight w:val="none"/>
              </w:rPr>
            </w:pPr>
            <w:r>
              <w:rPr>
                <w:rFonts w:hint="default" w:ascii="Times New Roman" w:hAnsi="Times New Roman" w:eastAsia="宋体" w:cs="Times New Roman"/>
                <w:b/>
                <w:bCs/>
                <w:snapToGrid w:val="0"/>
                <w:color w:val="auto"/>
                <w:kern w:val="0"/>
                <w:sz w:val="24"/>
                <w:highlight w:val="none"/>
              </w:rPr>
              <w:t>3.1噪声源强分析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8"/>
                <w:highlight w:val="none"/>
              </w:rPr>
              <w:t>本项目运营期产生的主要声源为给水泵、</w:t>
            </w:r>
            <w:r>
              <w:rPr>
                <w:rFonts w:hint="default" w:ascii="Times New Roman" w:hAnsi="Times New Roman" w:eastAsia="宋体" w:cs="Times New Roman"/>
                <w:color w:val="auto"/>
                <w:sz w:val="24"/>
                <w:szCs w:val="28"/>
                <w:highlight w:val="none"/>
                <w:lang w:eastAsia="zh-CN"/>
              </w:rPr>
              <w:t>循环水</w:t>
            </w:r>
            <w:r>
              <w:rPr>
                <w:rFonts w:hint="default" w:ascii="Times New Roman" w:hAnsi="Times New Roman" w:eastAsia="宋体" w:cs="Times New Roman"/>
                <w:color w:val="auto"/>
                <w:sz w:val="24"/>
                <w:szCs w:val="28"/>
                <w:highlight w:val="none"/>
              </w:rPr>
              <w:t>泵、风机设备噪声，该类设备运行时噪声源强参照《污染源源强核算技术指南 锅炉》</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HJ991-2018）中“附录D 锅炉相关设备噪声源声压级及常见降噪措施一览表”可知，本项目设备源强在70-90dB</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A</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左右</w:t>
            </w:r>
            <w:r>
              <w:rPr>
                <w:rFonts w:hint="default" w:ascii="Times New Roman" w:hAnsi="Times New Roman" w:eastAsia="宋体" w:cs="Times New Roman"/>
                <w:snapToGrid w:val="0"/>
                <w:color w:val="auto"/>
                <w:kern w:val="0"/>
                <w:sz w:val="24"/>
                <w:highlight w:val="none"/>
              </w:rPr>
              <w:t>。为使项目运营期噪声影响降到最低，项目锅炉设备均设于室内，做全封闭隔声同时进行减振处理，降噪值可达25dB</w:t>
            </w: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rPr>
              <w:t>A）以上</w:t>
            </w:r>
            <w:r>
              <w:rPr>
                <w:rFonts w:hint="default" w:ascii="Times New Roman" w:hAnsi="Times New Roman" w:eastAsia="宋体" w:cs="Times New Roman"/>
                <w:color w:val="auto"/>
                <w:sz w:val="24"/>
                <w:highlight w:val="none"/>
              </w:rPr>
              <w:t>，设备噪声源值见表4-</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 xml:space="preserve"> 设备噪声源值表</w:t>
            </w:r>
          </w:p>
          <w:tbl>
            <w:tblPr>
              <w:tblStyle w:val="22"/>
              <w:tblW w:w="8277" w:type="dxa"/>
              <w:jc w:val="center"/>
              <w:tblLayout w:type="fixed"/>
              <w:tblCellMar>
                <w:top w:w="0" w:type="dxa"/>
                <w:left w:w="15" w:type="dxa"/>
                <w:bottom w:w="0" w:type="dxa"/>
                <w:right w:w="15" w:type="dxa"/>
              </w:tblCellMar>
            </w:tblPr>
            <w:tblGrid>
              <w:gridCol w:w="505"/>
              <w:gridCol w:w="1936"/>
              <w:gridCol w:w="640"/>
              <w:gridCol w:w="1056"/>
              <w:gridCol w:w="1649"/>
              <w:gridCol w:w="1117"/>
              <w:gridCol w:w="1374"/>
            </w:tblGrid>
            <w:tr>
              <w:tblPrEx>
                <w:tblCellMar>
                  <w:top w:w="0" w:type="dxa"/>
                  <w:left w:w="15" w:type="dxa"/>
                  <w:bottom w:w="0" w:type="dxa"/>
                  <w:right w:w="15" w:type="dxa"/>
                </w:tblCellMar>
              </w:tblPrEx>
              <w:trPr>
                <w:trHeight w:val="340" w:hRule="atLeast"/>
                <w:jc w:val="center"/>
              </w:trPr>
              <w:tc>
                <w:tcPr>
                  <w:tcW w:w="50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93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名称及型号</w:t>
                  </w:r>
                </w:p>
              </w:tc>
              <w:tc>
                <w:tcPr>
                  <w:tcW w:w="640"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数量</w:t>
                  </w:r>
                </w:p>
              </w:tc>
              <w:tc>
                <w:tcPr>
                  <w:tcW w:w="1056"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噪声值dB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649"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防护措施</w:t>
                  </w:r>
                </w:p>
              </w:tc>
              <w:tc>
                <w:tcPr>
                  <w:tcW w:w="1117"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减噪数值dB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374"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采取环保措施的噪声值dB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r>
            <w:tr>
              <w:tblPrEx>
                <w:tblCellMar>
                  <w:top w:w="0" w:type="dxa"/>
                  <w:left w:w="15" w:type="dxa"/>
                  <w:bottom w:w="0" w:type="dxa"/>
                  <w:right w:w="15" w:type="dxa"/>
                </w:tblCellMar>
              </w:tblPrEx>
              <w:trPr>
                <w:trHeight w:val="340" w:hRule="atLeast"/>
                <w:jc w:val="center"/>
              </w:trPr>
              <w:tc>
                <w:tcPr>
                  <w:tcW w:w="50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w:t>
                  </w:r>
                </w:p>
              </w:tc>
              <w:tc>
                <w:tcPr>
                  <w:tcW w:w="193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给水泵</w:t>
                  </w:r>
                </w:p>
              </w:tc>
              <w:tc>
                <w:tcPr>
                  <w:tcW w:w="640"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056"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90</w:t>
                  </w:r>
                </w:p>
              </w:tc>
              <w:tc>
                <w:tcPr>
                  <w:tcW w:w="1649"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减震、封闭隔声</w:t>
                  </w:r>
                </w:p>
              </w:tc>
              <w:tc>
                <w:tcPr>
                  <w:tcW w:w="1117"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w:t>
                  </w:r>
                </w:p>
              </w:tc>
              <w:tc>
                <w:tcPr>
                  <w:tcW w:w="1374"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w:t>
                  </w:r>
                </w:p>
              </w:tc>
            </w:tr>
            <w:tr>
              <w:tblPrEx>
                <w:tblCellMar>
                  <w:top w:w="0" w:type="dxa"/>
                  <w:left w:w="15" w:type="dxa"/>
                  <w:bottom w:w="0" w:type="dxa"/>
                  <w:right w:w="15" w:type="dxa"/>
                </w:tblCellMar>
              </w:tblPrEx>
              <w:trPr>
                <w:trHeight w:val="340" w:hRule="atLeast"/>
                <w:jc w:val="center"/>
              </w:trPr>
              <w:tc>
                <w:tcPr>
                  <w:tcW w:w="505" w:type="dxa"/>
                  <w:tcBorders>
                    <w:top w:val="single" w:color="000000" w:sz="4" w:space="0"/>
                    <w:left w:val="single" w:color="000000" w:sz="4" w:space="0"/>
                    <w:bottom w:val="single" w:color="000000" w:sz="4" w:space="0"/>
                    <w:right w:val="single" w:color="auto"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w:t>
                  </w:r>
                </w:p>
              </w:tc>
              <w:tc>
                <w:tcPr>
                  <w:tcW w:w="1936" w:type="dxa"/>
                  <w:tcBorders>
                    <w:top w:val="single" w:color="000000" w:sz="4" w:space="0"/>
                    <w:left w:val="single" w:color="auto"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风机</w:t>
                  </w:r>
                </w:p>
              </w:tc>
              <w:tc>
                <w:tcPr>
                  <w:tcW w:w="64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90</w:t>
                  </w:r>
                </w:p>
              </w:tc>
              <w:tc>
                <w:tcPr>
                  <w:tcW w:w="16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减震、封闭隔声</w:t>
                  </w:r>
                </w:p>
              </w:tc>
              <w:tc>
                <w:tcPr>
                  <w:tcW w:w="111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w:t>
                  </w:r>
                </w:p>
              </w:tc>
              <w:tc>
                <w:tcPr>
                  <w:tcW w:w="137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w:t>
                  </w:r>
                </w:p>
              </w:tc>
            </w:tr>
            <w:tr>
              <w:tblPrEx>
                <w:tblCellMar>
                  <w:top w:w="0" w:type="dxa"/>
                  <w:left w:w="15" w:type="dxa"/>
                  <w:bottom w:w="0" w:type="dxa"/>
                  <w:right w:w="15" w:type="dxa"/>
                </w:tblCellMar>
              </w:tblPrEx>
              <w:trPr>
                <w:trHeight w:val="340" w:hRule="atLeast"/>
                <w:jc w:val="center"/>
              </w:trPr>
              <w:tc>
                <w:tcPr>
                  <w:tcW w:w="505" w:type="dxa"/>
                  <w:tcBorders>
                    <w:top w:val="single" w:color="000000" w:sz="4" w:space="0"/>
                    <w:left w:val="single" w:color="000000" w:sz="4" w:space="0"/>
                    <w:bottom w:val="single" w:color="000000" w:sz="4" w:space="0"/>
                    <w:right w:val="single" w:color="auto"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w:t>
                  </w:r>
                </w:p>
              </w:tc>
              <w:tc>
                <w:tcPr>
                  <w:tcW w:w="1936" w:type="dxa"/>
                  <w:tcBorders>
                    <w:top w:val="single" w:color="000000" w:sz="4" w:space="0"/>
                    <w:left w:val="single" w:color="auto"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炉排减速机</w:t>
                  </w:r>
                </w:p>
              </w:tc>
              <w:tc>
                <w:tcPr>
                  <w:tcW w:w="64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85</w:t>
                  </w:r>
                </w:p>
              </w:tc>
              <w:tc>
                <w:tcPr>
                  <w:tcW w:w="16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减震、封闭隔声</w:t>
                  </w:r>
                </w:p>
              </w:tc>
              <w:tc>
                <w:tcPr>
                  <w:tcW w:w="111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25</w:t>
                  </w:r>
                </w:p>
              </w:tc>
              <w:tc>
                <w:tcPr>
                  <w:tcW w:w="137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60</w:t>
                  </w:r>
                </w:p>
              </w:tc>
            </w:tr>
            <w:tr>
              <w:tblPrEx>
                <w:tblCellMar>
                  <w:top w:w="0" w:type="dxa"/>
                  <w:left w:w="15" w:type="dxa"/>
                  <w:bottom w:w="0" w:type="dxa"/>
                  <w:right w:w="15" w:type="dxa"/>
                </w:tblCellMar>
              </w:tblPrEx>
              <w:trPr>
                <w:trHeight w:val="340" w:hRule="atLeast"/>
                <w:jc w:val="center"/>
              </w:trPr>
              <w:tc>
                <w:tcPr>
                  <w:tcW w:w="505" w:type="dxa"/>
                  <w:tcBorders>
                    <w:top w:val="single" w:color="000000" w:sz="4" w:space="0"/>
                    <w:left w:val="single" w:color="000000" w:sz="4" w:space="0"/>
                    <w:bottom w:val="single" w:color="000000" w:sz="4" w:space="0"/>
                    <w:right w:val="single" w:color="auto" w:sz="4" w:space="0"/>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936" w:type="dxa"/>
                  <w:tcBorders>
                    <w:top w:val="single" w:color="000000" w:sz="4" w:space="0"/>
                    <w:left w:val="single" w:color="auto"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上料机</w:t>
                  </w:r>
                </w:p>
              </w:tc>
              <w:tc>
                <w:tcPr>
                  <w:tcW w:w="64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80</w:t>
                  </w:r>
                </w:p>
              </w:tc>
              <w:tc>
                <w:tcPr>
                  <w:tcW w:w="16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减震、封闭隔声</w:t>
                  </w:r>
                </w:p>
              </w:tc>
              <w:tc>
                <w:tcPr>
                  <w:tcW w:w="111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25</w:t>
                  </w:r>
                </w:p>
              </w:tc>
              <w:tc>
                <w:tcPr>
                  <w:tcW w:w="137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55</w:t>
                  </w:r>
                </w:p>
              </w:tc>
            </w:tr>
            <w:tr>
              <w:tblPrEx>
                <w:tblCellMar>
                  <w:top w:w="0" w:type="dxa"/>
                  <w:left w:w="15" w:type="dxa"/>
                  <w:bottom w:w="0" w:type="dxa"/>
                  <w:right w:w="15" w:type="dxa"/>
                </w:tblCellMar>
              </w:tblPrEx>
              <w:trPr>
                <w:trHeight w:val="340" w:hRule="atLeast"/>
                <w:jc w:val="center"/>
              </w:trPr>
              <w:tc>
                <w:tcPr>
                  <w:tcW w:w="505" w:type="dxa"/>
                  <w:tcBorders>
                    <w:top w:val="single" w:color="000000" w:sz="4" w:space="0"/>
                    <w:left w:val="single" w:color="000000" w:sz="4" w:space="0"/>
                    <w:bottom w:val="single" w:color="000000" w:sz="4" w:space="0"/>
                    <w:right w:val="single" w:color="auto" w:sz="4" w:space="0"/>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936" w:type="dxa"/>
                  <w:tcBorders>
                    <w:top w:val="single" w:color="000000" w:sz="4" w:space="0"/>
                    <w:left w:val="single" w:color="auto"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出渣机</w:t>
                  </w:r>
                </w:p>
              </w:tc>
              <w:tc>
                <w:tcPr>
                  <w:tcW w:w="64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85</w:t>
                  </w:r>
                </w:p>
              </w:tc>
              <w:tc>
                <w:tcPr>
                  <w:tcW w:w="16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减震、封闭隔声</w:t>
                  </w:r>
                </w:p>
              </w:tc>
              <w:tc>
                <w:tcPr>
                  <w:tcW w:w="111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25</w:t>
                  </w:r>
                </w:p>
              </w:tc>
              <w:tc>
                <w:tcPr>
                  <w:tcW w:w="137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60</w:t>
                  </w:r>
                </w:p>
              </w:tc>
            </w:tr>
            <w:tr>
              <w:tblPrEx>
                <w:tblCellMar>
                  <w:top w:w="0" w:type="dxa"/>
                  <w:left w:w="15" w:type="dxa"/>
                  <w:bottom w:w="0" w:type="dxa"/>
                  <w:right w:w="15" w:type="dxa"/>
                </w:tblCellMar>
              </w:tblPrEx>
              <w:trPr>
                <w:trHeight w:val="340" w:hRule="atLeast"/>
                <w:jc w:val="center"/>
              </w:trPr>
              <w:tc>
                <w:tcPr>
                  <w:tcW w:w="505" w:type="dxa"/>
                  <w:tcBorders>
                    <w:top w:val="single" w:color="000000" w:sz="4" w:space="0"/>
                    <w:left w:val="single" w:color="000000" w:sz="4" w:space="0"/>
                    <w:bottom w:val="single" w:color="000000" w:sz="4" w:space="0"/>
                    <w:right w:val="single" w:color="auto" w:sz="4" w:space="0"/>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1936" w:type="dxa"/>
                  <w:tcBorders>
                    <w:top w:val="single" w:color="000000" w:sz="4" w:space="0"/>
                    <w:left w:val="single" w:color="auto"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循环水泵</w:t>
                  </w:r>
                </w:p>
              </w:tc>
              <w:tc>
                <w:tcPr>
                  <w:tcW w:w="64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90</w:t>
                  </w:r>
                </w:p>
              </w:tc>
              <w:tc>
                <w:tcPr>
                  <w:tcW w:w="16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Cs w:val="21"/>
                      <w:highlight w:val="none"/>
                    </w:rPr>
                    <w:t>减震、封闭隔声</w:t>
                  </w:r>
                </w:p>
              </w:tc>
              <w:tc>
                <w:tcPr>
                  <w:tcW w:w="111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25</w:t>
                  </w:r>
                </w:p>
              </w:tc>
              <w:tc>
                <w:tcPr>
                  <w:tcW w:w="137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65</w:t>
                  </w:r>
                </w:p>
              </w:tc>
            </w:tr>
          </w:tbl>
          <w:p>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3.2预测模式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 声环境》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HJ2.4－20</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）中的要求，本次评价采取导则推荐模式。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1）声级计算</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建设项目声源在预测点产生的等效声级贡献值</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Leq 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计算公式：</w:t>
            </w:r>
          </w:p>
          <w:p>
            <w:pP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28"/>
                <w:sz w:val="24"/>
                <w:highlight w:val="none"/>
              </w:rPr>
              <w:object>
                <v:shape id="_x0000_i1027" o:spt="75" type="#_x0000_t75" style="height:33pt;width:132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i/>
                <w:color w:val="auto"/>
                <w:sz w:val="24"/>
                <w:highlight w:val="none"/>
              </w:rPr>
              <w:t>L</w:t>
            </w:r>
            <w:r>
              <w:rPr>
                <w:rFonts w:hint="default" w:ascii="Times New Roman" w:hAnsi="Times New Roman" w:eastAsia="宋体" w:cs="Times New Roman"/>
                <w:i/>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—建设项目声源在预测点的等效声级贡献值，dB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L</w:t>
            </w:r>
            <w:r>
              <w:rPr>
                <w:rFonts w:hint="default" w:ascii="Times New Roman" w:hAnsi="Times New Roman" w:eastAsia="宋体" w:cs="Times New Roman"/>
                <w:i/>
                <w:color w:val="auto"/>
                <w:sz w:val="24"/>
                <w:highlight w:val="none"/>
                <w:vertAlign w:val="subscript"/>
              </w:rPr>
              <w:t>Ai</w:t>
            </w:r>
            <w:r>
              <w:rPr>
                <w:rFonts w:hint="default" w:ascii="Times New Roman" w:hAnsi="Times New Roman" w:eastAsia="宋体" w:cs="Times New Roman"/>
                <w:i/>
                <w:color w:val="auto"/>
                <w:sz w:val="24"/>
                <w:highlight w:val="none"/>
              </w:rPr>
              <w:t xml:space="preserve"> </w:t>
            </w:r>
            <w:r>
              <w:rPr>
                <w:rFonts w:hint="default" w:ascii="Times New Roman" w:hAnsi="Times New Roman" w:eastAsia="宋体" w:cs="Times New Roman"/>
                <w:color w:val="auto"/>
                <w:sz w:val="24"/>
                <w:highlight w:val="none"/>
              </w:rPr>
              <w:t>— i声源在预测点产生的A 声级，dB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 xml:space="preserve">T  </w:t>
            </w:r>
            <w:r>
              <w:rPr>
                <w:rFonts w:hint="default" w:ascii="Times New Roman" w:hAnsi="Times New Roman" w:eastAsia="宋体" w:cs="Times New Roman"/>
                <w:color w:val="auto"/>
                <w:sz w:val="24"/>
                <w:highlight w:val="none"/>
              </w:rPr>
              <w:t>— 预测计算的时间段，s；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color w:val="auto"/>
                <w:sz w:val="24"/>
                <w:highlight w:val="none"/>
              </w:rPr>
              <w:t>t</w:t>
            </w:r>
            <w:r>
              <w:rPr>
                <w:rFonts w:hint="default" w:ascii="Times New Roman" w:hAnsi="Times New Roman" w:eastAsia="宋体" w:cs="Times New Roman"/>
                <w:i/>
                <w:color w:val="auto"/>
                <w:sz w:val="24"/>
                <w:highlight w:val="none"/>
                <w:vertAlign w:val="subscript"/>
              </w:rPr>
              <w:t>i</w:t>
            </w:r>
            <w:r>
              <w:rPr>
                <w:rFonts w:hint="default" w:ascii="Times New Roman" w:hAnsi="Times New Roman" w:eastAsia="宋体" w:cs="Times New Roman"/>
                <w:color w:val="auto"/>
                <w:sz w:val="24"/>
                <w:highlight w:val="none"/>
                <w:vertAlign w:val="subscript"/>
              </w:rPr>
              <w:t xml:space="preserve"> </w:t>
            </w:r>
            <w:r>
              <w:rPr>
                <w:rFonts w:hint="default" w:ascii="Times New Roman" w:hAnsi="Times New Roman" w:eastAsia="宋体" w:cs="Times New Roman"/>
                <w:color w:val="auto"/>
                <w:sz w:val="24"/>
                <w:highlight w:val="none"/>
              </w:rPr>
              <w:t xml:space="preserve"> — i 声源在T 时段内的运行时间，s。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2）预测点的预测等效声级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 xml:space="preserve">Leq </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计算公式</w:t>
            </w:r>
          </w:p>
          <w:p>
            <w:pP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28" o:spt="75" type="#_x0000_t75" style="height:22.5pt;width:150.7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bookmarkStart w:id="21" w:name="_Toc269025278"/>
            <w:bookmarkStart w:id="22" w:name="_Toc270691827"/>
            <w:bookmarkStart w:id="23" w:name="_Toc269024991"/>
            <w:r>
              <w:rPr>
                <w:rFonts w:hint="default" w:ascii="Times New Roman" w:hAnsi="Times New Roman" w:eastAsia="宋体" w:cs="Times New Roman"/>
                <w:i/>
                <w:color w:val="auto"/>
                <w:sz w:val="24"/>
                <w:highlight w:val="none"/>
              </w:rPr>
              <w:t>L</w:t>
            </w:r>
            <w:r>
              <w:rPr>
                <w:rFonts w:hint="default" w:ascii="Times New Roman" w:hAnsi="Times New Roman" w:eastAsia="宋体" w:cs="Times New Roman"/>
                <w:i/>
                <w:color w:val="auto"/>
                <w:sz w:val="24"/>
                <w:highlight w:val="none"/>
                <w:vertAlign w:val="subscript"/>
              </w:rPr>
              <w:t>eqg</w:t>
            </w:r>
            <w:r>
              <w:rPr>
                <w:rFonts w:hint="default" w:ascii="Times New Roman" w:hAnsi="Times New Roman" w:eastAsia="宋体" w:cs="Times New Roman"/>
                <w:color w:val="auto"/>
                <w:sz w:val="24"/>
                <w:highlight w:val="none"/>
              </w:rPr>
              <w:t xml:space="preserve"> —建设项目声源在预测点的等效声级贡献值，dB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bookmarkEnd w:id="21"/>
            <w:bookmarkEnd w:id="22"/>
            <w:bookmarkEnd w:id="23"/>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i/>
                <w:color w:val="auto"/>
                <w:sz w:val="24"/>
                <w:highlight w:val="none"/>
              </w:rPr>
              <w:t>L</w:t>
            </w:r>
            <w:r>
              <w:rPr>
                <w:rFonts w:hint="default" w:ascii="Times New Roman" w:hAnsi="Times New Roman" w:eastAsia="宋体" w:cs="Times New Roman"/>
                <w:i/>
                <w:color w:val="auto"/>
                <w:sz w:val="24"/>
                <w:highlight w:val="none"/>
                <w:vertAlign w:val="subscript"/>
              </w:rPr>
              <w:t>eqb</w:t>
            </w:r>
            <w:r>
              <w:rPr>
                <w:rFonts w:hint="default" w:ascii="Times New Roman" w:hAnsi="Times New Roman" w:eastAsia="宋体" w:cs="Times New Roman"/>
                <w:color w:val="auto"/>
                <w:sz w:val="24"/>
                <w:highlight w:val="none"/>
              </w:rPr>
              <w:t xml:space="preserve"> — 预测点的背景值，dB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3）户外声传播衰减计算</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户外声传播衰减包括几何发散</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）、大气吸收</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atm</w:t>
            </w:r>
            <w:r>
              <w:rPr>
                <w:rFonts w:hint="default" w:ascii="Times New Roman" w:hAnsi="Times New Roman" w:eastAsia="宋体" w:cs="Times New Roman"/>
                <w:color w:val="auto"/>
                <w:sz w:val="24"/>
                <w:highlight w:val="none"/>
              </w:rPr>
              <w:t>）、地面效应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gr</w:t>
            </w:r>
            <w:r>
              <w:rPr>
                <w:rFonts w:hint="default" w:ascii="Times New Roman" w:hAnsi="Times New Roman" w:eastAsia="宋体" w:cs="Times New Roman"/>
                <w:color w:val="auto"/>
                <w:sz w:val="24"/>
                <w:highlight w:val="none"/>
              </w:rPr>
              <w:t>）、屏障屏蔽</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）、其他多方面效应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misc</w:t>
            </w:r>
            <w:r>
              <w:rPr>
                <w:rFonts w:hint="default" w:ascii="Times New Roman" w:hAnsi="Times New Roman" w:eastAsia="宋体" w:cs="Times New Roman"/>
                <w:color w:val="auto"/>
                <w:sz w:val="24"/>
                <w:highlight w:val="none"/>
              </w:rPr>
              <w:t>）引起的衰减。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距声源点r处的A声级按下式计算：</w:t>
            </w:r>
          </w:p>
          <w:p>
            <w:pP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3422015" cy="358140"/>
                  <wp:effectExtent l="0" t="0" r="698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3422015" cy="35814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在预测中考虑反射引起的修正、屏障引起的衰减、双绕射、室内声源等效室外声源等影响和计算方法。</w:t>
            </w:r>
          </w:p>
          <w:p>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3.3预测结果</w:t>
            </w:r>
          </w:p>
          <w:p>
            <w:pPr>
              <w:spacing w:line="36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highlight w:val="none"/>
              </w:rPr>
              <w:t>根据模式预测结果，噪声源对各预测点的影</w:t>
            </w:r>
            <w:r>
              <w:rPr>
                <w:rFonts w:hint="default" w:ascii="Times New Roman" w:hAnsi="Times New Roman" w:eastAsia="宋体" w:cs="Times New Roman"/>
                <w:color w:val="auto"/>
                <w:sz w:val="24"/>
                <w:szCs w:val="24"/>
                <w:highlight w:val="none"/>
              </w:rPr>
              <w:t>响预测结果见表4-</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pPr>
              <w:tabs>
                <w:tab w:val="center" w:pos="4153"/>
                <w:tab w:val="right" w:pos="8306"/>
              </w:tabs>
              <w:adjustRightInd/>
              <w:spacing w:line="360" w:lineRule="auto"/>
              <w:ind w:firstLine="482" w:firstLineChars="20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表4-</w:t>
            </w:r>
            <w:r>
              <w:rPr>
                <w:rFonts w:hint="default" w:ascii="Times New Roman" w:hAnsi="Times New Roman" w:eastAsia="宋体" w:cs="Times New Roman"/>
                <w:b/>
                <w:bCs/>
                <w:color w:val="auto"/>
                <w:kern w:val="0"/>
                <w:sz w:val="24"/>
                <w:szCs w:val="24"/>
                <w:highlight w:val="none"/>
                <w:lang w:val="en-US" w:eastAsia="zh-CN"/>
              </w:rPr>
              <w:t>5</w:t>
            </w:r>
            <w:r>
              <w:rPr>
                <w:rFonts w:hint="default" w:ascii="Times New Roman" w:hAnsi="Times New Roman" w:eastAsia="宋体" w:cs="Times New Roman"/>
                <w:b/>
                <w:bCs/>
                <w:color w:val="auto"/>
                <w:kern w:val="0"/>
                <w:sz w:val="24"/>
                <w:szCs w:val="24"/>
                <w:highlight w:val="none"/>
              </w:rPr>
              <w:t xml:space="preserve">   </w:t>
            </w:r>
            <w:r>
              <w:rPr>
                <w:rFonts w:hint="default" w:ascii="Times New Roman" w:hAnsi="Times New Roman" w:eastAsia="宋体" w:cs="Times New Roman"/>
                <w:b/>
                <w:color w:val="auto"/>
                <w:kern w:val="0"/>
                <w:sz w:val="24"/>
                <w:szCs w:val="24"/>
                <w:highlight w:val="none"/>
              </w:rPr>
              <w:t>厂界噪声预测结果</w:t>
            </w:r>
            <w:r>
              <w:rPr>
                <w:rFonts w:hint="default" w:ascii="Times New Roman" w:hAnsi="Times New Roman" w:eastAsia="宋体" w:cs="Times New Roman"/>
                <w:b/>
                <w:color w:val="auto"/>
                <w:kern w:val="0"/>
                <w:sz w:val="24"/>
                <w:szCs w:val="24"/>
                <w:highlight w:val="none"/>
                <w:lang w:eastAsia="zh-CN"/>
              </w:rPr>
              <w:t>（</w:t>
            </w:r>
            <w:r>
              <w:rPr>
                <w:rFonts w:hint="default" w:ascii="Times New Roman" w:hAnsi="Times New Roman" w:eastAsia="宋体" w:cs="Times New Roman"/>
                <w:b/>
                <w:color w:val="auto"/>
                <w:kern w:val="0"/>
                <w:sz w:val="24"/>
                <w:szCs w:val="24"/>
                <w:highlight w:val="none"/>
              </w:rPr>
              <w:t>单位：dB</w:t>
            </w:r>
            <w:r>
              <w:rPr>
                <w:rFonts w:hint="default" w:ascii="Times New Roman" w:hAnsi="Times New Roman" w:eastAsia="宋体" w:cs="Times New Roman"/>
                <w:b/>
                <w:color w:val="auto"/>
                <w:kern w:val="0"/>
                <w:sz w:val="24"/>
                <w:szCs w:val="24"/>
                <w:highlight w:val="none"/>
                <w:lang w:eastAsia="zh-CN"/>
              </w:rPr>
              <w:t>（</w:t>
            </w:r>
            <w:r>
              <w:rPr>
                <w:rFonts w:hint="default" w:ascii="Times New Roman" w:hAnsi="Times New Roman" w:eastAsia="宋体" w:cs="Times New Roman"/>
                <w:b/>
                <w:color w:val="auto"/>
                <w:kern w:val="0"/>
                <w:sz w:val="24"/>
                <w:szCs w:val="24"/>
                <w:highlight w:val="none"/>
              </w:rPr>
              <w:t>A</w:t>
            </w:r>
            <w:r>
              <w:rPr>
                <w:rFonts w:hint="default" w:ascii="Times New Roman" w:hAnsi="Times New Roman" w:eastAsia="宋体" w:cs="Times New Roman"/>
                <w:b/>
                <w:color w:val="auto"/>
                <w:kern w:val="0"/>
                <w:sz w:val="24"/>
                <w:szCs w:val="24"/>
                <w:highlight w:val="none"/>
                <w:lang w:eastAsia="zh-CN"/>
              </w:rPr>
              <w:t>）</w:t>
            </w:r>
            <w:r>
              <w:rPr>
                <w:rFonts w:hint="default" w:ascii="Times New Roman" w:hAnsi="Times New Roman" w:eastAsia="宋体" w:cs="Times New Roman"/>
                <w:b/>
                <w:color w:val="auto"/>
                <w:kern w:val="0"/>
                <w:sz w:val="24"/>
                <w:szCs w:val="24"/>
                <w:highlight w:val="none"/>
              </w:rPr>
              <w:t>）</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2069"/>
              <w:gridCol w:w="2069"/>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4" w:type="dxa"/>
                  <w:gridSpan w:val="2"/>
                  <w:vMerge w:val="restart"/>
                  <w:tcMar>
                    <w:left w:w="28" w:type="dxa"/>
                    <w:right w:w="28" w:type="dxa"/>
                  </w:tcMar>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预测点位</w:t>
                  </w:r>
                </w:p>
              </w:tc>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昼间</w:t>
                  </w:r>
                </w:p>
              </w:tc>
              <w:tc>
                <w:tcPr>
                  <w:tcW w:w="1134" w:type="dxa"/>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4" w:type="dxa"/>
                  <w:gridSpan w:val="2"/>
                  <w:vMerge w:val="continue"/>
                  <w:tcMar>
                    <w:left w:w="28" w:type="dxa"/>
                    <w:right w:w="28" w:type="dxa"/>
                  </w:tcMar>
                  <w:vAlign w:val="center"/>
                </w:tcPr>
                <w:p>
                  <w:pPr>
                    <w:jc w:val="center"/>
                    <w:rPr>
                      <w:rFonts w:hint="default" w:ascii="Times New Roman" w:hAnsi="Times New Roman" w:eastAsia="宋体" w:cs="Times New Roman"/>
                      <w:color w:val="auto"/>
                      <w:szCs w:val="21"/>
                      <w:highlight w:val="none"/>
                      <w:lang w:val="de-DE"/>
                    </w:rPr>
                  </w:pPr>
                </w:p>
              </w:tc>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贡献值</w:t>
                  </w:r>
                </w:p>
              </w:tc>
              <w:tc>
                <w:tcPr>
                  <w:tcW w:w="1134" w:type="dxa"/>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1</w:t>
                  </w:r>
                </w:p>
              </w:tc>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项目东侧</w:t>
                  </w:r>
                </w:p>
              </w:tc>
              <w:tc>
                <w:tcPr>
                  <w:tcW w:w="1134" w:type="dxa"/>
                  <w:tcBorders>
                    <w:left w:val="single" w:color="auto" w:sz="2" w:space="0"/>
                  </w:tcBorders>
                  <w:tcMar>
                    <w:left w:w="28" w:type="dxa"/>
                    <w:right w:w="28" w:type="dxa"/>
                  </w:tcMar>
                  <w:vAlign w:val="center"/>
                </w:tcPr>
                <w:p>
                  <w:pPr>
                    <w:tabs>
                      <w:tab w:val="left" w:pos="496"/>
                    </w:tabs>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32.4</w:t>
                  </w:r>
                </w:p>
              </w:tc>
              <w:tc>
                <w:tcPr>
                  <w:tcW w:w="1134" w:type="dxa"/>
                  <w:vAlign w:val="center"/>
                </w:tcPr>
                <w:p>
                  <w:pPr>
                    <w:tabs>
                      <w:tab w:val="left" w:pos="496"/>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2</w:t>
                  </w:r>
                </w:p>
              </w:tc>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项目南侧</w:t>
                  </w:r>
                </w:p>
              </w:tc>
              <w:tc>
                <w:tcPr>
                  <w:tcW w:w="1134" w:type="dxa"/>
                  <w:tcBorders>
                    <w:left w:val="single" w:color="auto" w:sz="2" w:space="0"/>
                  </w:tcBorders>
                  <w:tcMar>
                    <w:left w:w="28" w:type="dxa"/>
                    <w:right w:w="28" w:type="dxa"/>
                  </w:tcMar>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31.1</w:t>
                  </w:r>
                </w:p>
              </w:tc>
              <w:tc>
                <w:tcPr>
                  <w:tcW w:w="1134"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3</w:t>
                  </w:r>
                </w:p>
              </w:tc>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项目西侧</w:t>
                  </w:r>
                </w:p>
              </w:tc>
              <w:tc>
                <w:tcPr>
                  <w:tcW w:w="1134" w:type="dxa"/>
                  <w:tcBorders>
                    <w:left w:val="single" w:color="auto" w:sz="2" w:space="0"/>
                  </w:tcBorders>
                  <w:tcMar>
                    <w:left w:w="28" w:type="dxa"/>
                    <w:right w:w="28" w:type="dxa"/>
                  </w:tcMar>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31.8</w:t>
                  </w:r>
                </w:p>
              </w:tc>
              <w:tc>
                <w:tcPr>
                  <w:tcW w:w="1134"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4</w:t>
                  </w:r>
                </w:p>
              </w:tc>
              <w:tc>
                <w:tcPr>
                  <w:tcW w:w="1134" w:type="dxa"/>
                  <w:tcMar>
                    <w:left w:w="28" w:type="dxa"/>
                    <w:right w:w="28"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项目北侧</w:t>
                  </w:r>
                </w:p>
              </w:tc>
              <w:tc>
                <w:tcPr>
                  <w:tcW w:w="1134" w:type="dxa"/>
                  <w:tcBorders>
                    <w:left w:val="single" w:color="auto" w:sz="2" w:space="0"/>
                  </w:tcBorders>
                  <w:tcMar>
                    <w:left w:w="28" w:type="dxa"/>
                    <w:right w:w="28" w:type="dxa"/>
                  </w:tcMar>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30.7</w:t>
                  </w:r>
                </w:p>
              </w:tc>
              <w:tc>
                <w:tcPr>
                  <w:tcW w:w="1134"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30.7</w:t>
                  </w:r>
                </w:p>
              </w:tc>
            </w:tr>
          </w:tbl>
          <w:p>
            <w:pPr>
              <w:keepNext w:val="0"/>
              <w:keepLines w:val="0"/>
              <w:pageBreakBefore w:val="0"/>
              <w:widowControl w:val="0"/>
              <w:tabs>
                <w:tab w:val="left" w:pos="1992"/>
              </w:tabs>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根据预测，本项目厂区边界四周昼</w:t>
            </w:r>
            <w:r>
              <w:rPr>
                <w:rFonts w:hint="default" w:ascii="Times New Roman" w:hAnsi="Times New Roman" w:eastAsia="宋体" w:cs="Times New Roman"/>
                <w:color w:val="auto"/>
                <w:sz w:val="24"/>
                <w:szCs w:val="24"/>
                <w:highlight w:val="none"/>
                <w:lang w:eastAsia="zh-CN"/>
              </w:rPr>
              <w:t>夜</w:t>
            </w:r>
            <w:r>
              <w:rPr>
                <w:rFonts w:hint="default" w:ascii="Times New Roman" w:hAnsi="Times New Roman" w:eastAsia="宋体" w:cs="Times New Roman"/>
                <w:color w:val="auto"/>
                <w:sz w:val="24"/>
                <w:szCs w:val="24"/>
                <w:highlight w:val="none"/>
              </w:rPr>
              <w:t>间噪声贡献值为</w:t>
            </w:r>
            <w:r>
              <w:rPr>
                <w:rFonts w:hint="default" w:ascii="Times New Roman" w:hAnsi="Times New Roman" w:eastAsia="宋体" w:cs="Times New Roman"/>
                <w:color w:val="auto"/>
                <w:sz w:val="24"/>
                <w:szCs w:val="24"/>
                <w:highlight w:val="none"/>
                <w:lang w:val="en-US" w:eastAsia="zh-CN"/>
              </w:rPr>
              <w:t>30.7</w:t>
            </w: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，均满足《工业企业厂界噪声排放标准》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2类标准要求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昼间60dB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，夜间50 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的排放限值。</w:t>
            </w:r>
          </w:p>
          <w:p>
            <w:pPr>
              <w:pStyle w:val="2"/>
              <w:keepNext w:val="0"/>
              <w:keepLines w:val="0"/>
              <w:pageBreakBefore w:val="0"/>
              <w:widowControl w:val="0"/>
              <w:kinsoku/>
              <w:wordWrap/>
              <w:overflowPunct/>
              <w:topLinePunct w:val="0"/>
              <w:bidi w:val="0"/>
              <w:snapToGrid/>
              <w:spacing w:after="0" w:afterLines="0" w:line="360" w:lineRule="auto"/>
              <w:ind w:left="0" w:leftChars="0"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3.4噪声环境防护措施</w:t>
            </w:r>
          </w:p>
          <w:p>
            <w:pPr>
              <w:pStyle w:val="2"/>
              <w:keepNext w:val="0"/>
              <w:keepLines w:val="0"/>
              <w:pageBreakBefore w:val="0"/>
              <w:widowControl w:val="0"/>
              <w:kinsoku/>
              <w:wordWrap/>
              <w:overflowPunct/>
              <w:topLinePunct w:val="0"/>
              <w:bidi w:val="0"/>
              <w:snapToGrid/>
              <w:spacing w:after="0" w:afterLines="0"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1）从噪声源头进行控制，降低源强，即在设备选购时尽量采用低噪声设备；</w:t>
            </w:r>
          </w:p>
          <w:p>
            <w:pPr>
              <w:pStyle w:val="2"/>
              <w:keepNext w:val="0"/>
              <w:keepLines w:val="0"/>
              <w:pageBreakBefore w:val="0"/>
              <w:widowControl w:val="0"/>
              <w:kinsoku/>
              <w:wordWrap/>
              <w:overflowPunct/>
              <w:topLinePunct w:val="0"/>
              <w:bidi w:val="0"/>
              <w:snapToGrid/>
              <w:spacing w:after="0" w:afterLines="0"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2）所有设备均布置在室内，并采取基础减震措施。</w:t>
            </w:r>
          </w:p>
          <w:p>
            <w:pPr>
              <w:pStyle w:val="2"/>
              <w:keepNext w:val="0"/>
              <w:keepLines w:val="0"/>
              <w:pageBreakBefore w:val="0"/>
              <w:widowControl w:val="0"/>
              <w:kinsoku/>
              <w:wordWrap/>
              <w:overflowPunct/>
              <w:topLinePunct w:val="0"/>
              <w:bidi w:val="0"/>
              <w:snapToGrid/>
              <w:spacing w:after="0" w:afterLines="0"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kern w:val="0"/>
                <w:sz w:val="24"/>
                <w:szCs w:val="24"/>
                <w:highlight w:val="none"/>
                <w:lang w:bidi="ar"/>
              </w:rPr>
              <w:t>加强设备的维护，确保设备处于良好的运转状态，杜绝因设备不正常运转时产生的高噪声现象</w:t>
            </w:r>
            <w:r>
              <w:rPr>
                <w:rFonts w:hint="default" w:ascii="Times New Roman" w:hAnsi="Times New Roman" w:eastAsia="宋体" w:cs="Times New Roman"/>
                <w:color w:val="auto"/>
                <w:sz w:val="24"/>
                <w:szCs w:val="24"/>
                <w:highlight w:val="none"/>
              </w:rPr>
              <w:t>。</w:t>
            </w:r>
          </w:p>
          <w:p>
            <w:pPr>
              <w:keepNext w:val="0"/>
              <w:keepLines w:val="0"/>
              <w:pageBreakBefore w:val="0"/>
              <w:widowControl w:val="0"/>
              <w:tabs>
                <w:tab w:val="center" w:pos="4153"/>
                <w:tab w:val="right" w:pos="8306"/>
              </w:tabs>
              <w:kinsoku/>
              <w:wordWrap/>
              <w:overflowPunct/>
              <w:topLinePunct w:val="0"/>
              <w:bidi w:val="0"/>
              <w:adjustRightInd/>
              <w:snapToGrid/>
              <w:spacing w:line="360" w:lineRule="auto"/>
              <w:ind w:firstLine="482" w:firstLineChars="200"/>
              <w:jc w:val="left"/>
              <w:textAlignment w:val="auto"/>
              <w:outlineLvl w:val="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color w:val="auto"/>
                <w:sz w:val="24"/>
                <w:szCs w:val="24"/>
                <w:highlight w:val="none"/>
              </w:rPr>
              <w:t>、固体废物产生及处置情况</w:t>
            </w:r>
          </w:p>
          <w:p>
            <w:pPr>
              <w:pStyle w:val="2"/>
              <w:keepNext w:val="0"/>
              <w:keepLines w:val="0"/>
              <w:pageBreakBefore w:val="0"/>
              <w:widowControl w:val="0"/>
              <w:kinsoku/>
              <w:wordWrap/>
              <w:overflowPunct/>
              <w:topLinePunct w:val="0"/>
              <w:bidi w:val="0"/>
              <w:snapToGrid/>
              <w:spacing w:after="0" w:afterLines="0" w:line="360" w:lineRule="auto"/>
              <w:ind w:left="0" w:leftChars="0"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本项目固体废物主要为锅炉</w:t>
            </w:r>
            <w:r>
              <w:rPr>
                <w:rFonts w:hint="default" w:ascii="Times New Roman" w:hAnsi="Times New Roman" w:eastAsia="宋体" w:cs="Times New Roman"/>
                <w:color w:val="auto"/>
                <w:sz w:val="24"/>
                <w:szCs w:val="24"/>
                <w:highlight w:val="none"/>
                <w:lang w:eastAsia="zh-CN" w:bidi="ar"/>
              </w:rPr>
              <w:t>炉</w:t>
            </w:r>
            <w:r>
              <w:rPr>
                <w:rFonts w:hint="default" w:ascii="Times New Roman" w:hAnsi="Times New Roman" w:eastAsia="宋体" w:cs="Times New Roman"/>
                <w:color w:val="auto"/>
                <w:sz w:val="24"/>
                <w:szCs w:val="24"/>
                <w:highlight w:val="none"/>
                <w:lang w:bidi="ar"/>
              </w:rPr>
              <w:t>渣、</w:t>
            </w:r>
            <w:r>
              <w:rPr>
                <w:rFonts w:hint="default" w:ascii="Times New Roman" w:hAnsi="Times New Roman" w:eastAsia="宋体" w:cs="Times New Roman"/>
                <w:color w:val="auto"/>
                <w:sz w:val="24"/>
                <w:szCs w:val="24"/>
                <w:highlight w:val="none"/>
                <w:lang w:eastAsia="zh-CN" w:bidi="ar"/>
              </w:rPr>
              <w:t>除尘器收集的除尘灰、</w:t>
            </w:r>
            <w:r>
              <w:rPr>
                <w:rFonts w:hint="default" w:ascii="Times New Roman" w:hAnsi="Times New Roman" w:eastAsia="宋体" w:cs="Times New Roman"/>
                <w:color w:val="auto"/>
                <w:sz w:val="24"/>
                <w:szCs w:val="24"/>
                <w:highlight w:val="none"/>
                <w:lang w:bidi="ar"/>
              </w:rPr>
              <w:t>脱硫渣、废弃离子交换树脂</w:t>
            </w:r>
            <w:r>
              <w:rPr>
                <w:rFonts w:hint="default" w:ascii="Times New Roman" w:hAnsi="Times New Roman" w:eastAsia="宋体" w:cs="Times New Roman"/>
                <w:color w:val="auto"/>
                <w:sz w:val="24"/>
                <w:szCs w:val="24"/>
                <w:highlight w:val="none"/>
                <w:lang w:val="en-US" w:eastAsia="zh-CN" w:bidi="ar"/>
              </w:rPr>
              <w:t>和生活垃圾</w:t>
            </w:r>
            <w:r>
              <w:rPr>
                <w:rFonts w:hint="default" w:ascii="Times New Roman" w:hAnsi="Times New Roman" w:eastAsia="宋体" w:cs="Times New Roman"/>
                <w:color w:val="auto"/>
                <w:sz w:val="24"/>
                <w:szCs w:val="24"/>
                <w:highlight w:val="none"/>
                <w:lang w:bidi="ar"/>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炉</w:t>
            </w:r>
            <w:r>
              <w:rPr>
                <w:rFonts w:hint="default" w:ascii="Times New Roman" w:hAnsi="Times New Roman" w:eastAsia="宋体" w:cs="Times New Roman"/>
                <w:color w:val="auto"/>
                <w:sz w:val="24"/>
                <w:szCs w:val="24"/>
                <w:highlight w:val="none"/>
              </w:rPr>
              <w:t>灰渣</w:t>
            </w:r>
          </w:p>
          <w:p>
            <w:pPr>
              <w:pStyle w:val="2"/>
              <w:keepNext w:val="0"/>
              <w:keepLines w:val="0"/>
              <w:pageBreakBefore w:val="0"/>
              <w:widowControl w:val="0"/>
              <w:tabs>
                <w:tab w:val="left" w:pos="0"/>
              </w:tabs>
              <w:kinsoku/>
              <w:wordWrap/>
              <w:overflowPunct/>
              <w:topLinePunct w:val="0"/>
              <w:bidi w:val="0"/>
              <w:snapToGrid/>
              <w:spacing w:after="0" w:afterLines="0"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本项目</w:t>
            </w:r>
            <w:r>
              <w:rPr>
                <w:rFonts w:hint="default" w:ascii="Times New Roman" w:hAnsi="Times New Roman" w:eastAsia="宋体" w:cs="Times New Roman"/>
                <w:color w:val="auto"/>
                <w:sz w:val="24"/>
                <w:szCs w:val="24"/>
                <w:highlight w:val="none"/>
              </w:rPr>
              <w:t>1台</w:t>
            </w:r>
            <w:r>
              <w:rPr>
                <w:rFonts w:hint="eastAsia" w:eastAsia="宋体" w:cs="Times New Roman"/>
                <w:color w:val="auto"/>
                <w:sz w:val="24"/>
                <w:szCs w:val="24"/>
                <w:highlight w:val="none"/>
                <w:lang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废气中</w:t>
            </w:r>
            <w:r>
              <w:rPr>
                <w:rFonts w:hint="default" w:ascii="Times New Roman" w:hAnsi="Times New Roman" w:eastAsia="宋体" w:cs="Times New Roman"/>
                <w:bCs/>
                <w:color w:val="auto"/>
                <w:sz w:val="24"/>
                <w:szCs w:val="24"/>
                <w:highlight w:val="none"/>
              </w:rPr>
              <w:t>灰渣卸载过程中产生量</w:t>
            </w:r>
            <w:r>
              <w:rPr>
                <w:rFonts w:hint="default" w:ascii="Times New Roman" w:hAnsi="Times New Roman" w:eastAsia="宋体" w:cs="Times New Roman"/>
                <w:color w:val="auto"/>
                <w:kern w:val="0"/>
                <w:sz w:val="24"/>
                <w:szCs w:val="24"/>
                <w:highlight w:val="none"/>
              </w:rPr>
              <w:t>根据《污染源源强核算技术指南 锅炉》</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HJ991-2018）产污系数法进行计算，公式如下</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5133975" cy="1412875"/>
                  <wp:effectExtent l="0" t="0" r="9525" b="1587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0"/>
                          <a:stretch>
                            <a:fillRect/>
                          </a:stretch>
                        </pic:blipFill>
                        <pic:spPr>
                          <a:xfrm>
                            <a:off x="0" y="0"/>
                            <a:ext cx="5133975" cy="141287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消耗总量为</w:t>
            </w:r>
            <w:r>
              <w:rPr>
                <w:rFonts w:hint="default" w:ascii="Times New Roman" w:hAnsi="Times New Roman" w:eastAsia="宋体" w:cs="Times New Roman"/>
                <w:color w:val="auto"/>
                <w:sz w:val="24"/>
                <w:szCs w:val="24"/>
                <w:highlight w:val="none"/>
                <w:lang w:val="en-US" w:eastAsia="zh-CN"/>
              </w:rPr>
              <w:t>1640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收到基灰分为4.37%；根据</w:t>
            </w:r>
            <w:r>
              <w:rPr>
                <w:rFonts w:hint="default" w:ascii="Times New Roman" w:hAnsi="Times New Roman" w:eastAsia="宋体" w:cs="Times New Roman"/>
                <w:color w:val="auto"/>
                <w:kern w:val="0"/>
                <w:sz w:val="24"/>
                <w:szCs w:val="24"/>
                <w:highlight w:val="none"/>
              </w:rPr>
              <w:t>《污染源源强核算技术指南 锅炉》</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HJ991-2018）表B.1锅炉机械不完全燃烧热损失的一般取值5~15%，本次评价取1</w:t>
            </w:r>
            <w:r>
              <w:rPr>
                <w:rFonts w:hint="default"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收到基低位发热量为</w:t>
            </w:r>
            <w:r>
              <w:rPr>
                <w:rFonts w:hint="default" w:ascii="Times New Roman" w:hAnsi="Times New Roman" w:eastAsia="宋体" w:cs="Times New Roman"/>
                <w:color w:val="auto"/>
                <w:sz w:val="24"/>
                <w:szCs w:val="24"/>
                <w:highlight w:val="none"/>
                <w:lang w:eastAsia="zh-CN"/>
              </w:rPr>
              <w:t>19.921</w:t>
            </w:r>
            <w:r>
              <w:rPr>
                <w:rFonts w:hint="default" w:ascii="Times New Roman" w:hAnsi="Times New Roman" w:eastAsia="宋体" w:cs="Times New Roman"/>
                <w:color w:val="auto"/>
                <w:sz w:val="24"/>
                <w:szCs w:val="24"/>
                <w:highlight w:val="none"/>
              </w:rPr>
              <w:t>MJ/kg。</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则E</w:t>
            </w:r>
            <w:r>
              <w:rPr>
                <w:rFonts w:hint="default" w:ascii="Times New Roman" w:hAnsi="Times New Roman" w:eastAsia="宋体" w:cs="Times New Roman"/>
                <w:color w:val="auto"/>
                <w:sz w:val="24"/>
                <w:szCs w:val="24"/>
                <w:highlight w:val="none"/>
                <w:vertAlign w:val="subscript"/>
              </w:rPr>
              <w:t>hz</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1640</w:t>
            </w:r>
            <w:r>
              <w:rPr>
                <w:rFonts w:hint="default" w:ascii="Times New Roman" w:hAnsi="Times New Roman" w:eastAsia="宋体" w:cs="Times New Roman"/>
                <w:color w:val="auto"/>
                <w:sz w:val="24"/>
                <w:szCs w:val="24"/>
                <w:highlight w:val="none"/>
              </w:rPr>
              <w:t>×[4.37/100+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19.921</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100×33870）]</w:t>
            </w:r>
          </w:p>
          <w:p>
            <w:pPr>
              <w:keepNext w:val="0"/>
              <w:keepLines w:val="0"/>
              <w:pageBreakBefore w:val="0"/>
              <w:widowControl w:val="0"/>
              <w:kinsoku/>
              <w:wordWrap/>
              <w:overflowPunct/>
              <w:topLinePunct w:val="0"/>
              <w:bidi w:val="0"/>
              <w:snapToGrid/>
              <w:spacing w:line="360" w:lineRule="auto"/>
              <w:ind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216.4</w:t>
            </w:r>
            <w:r>
              <w:rPr>
                <w:rFonts w:hint="default" w:ascii="Times New Roman" w:hAnsi="Times New Roman" w:eastAsia="宋体" w:cs="Times New Roman"/>
                <w:color w:val="auto"/>
                <w:sz w:val="24"/>
                <w:szCs w:val="24"/>
                <w:highlight w:val="none"/>
              </w:rPr>
              <w:t>t/a</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主要成分为草灰，含有钾、磷、钙、镁、硅、硫和铁、锰、铜、锌、硼、钼等微量营养元素；属于一般工业固废；暂存于全封闭灰渣间内，定期作为肥料施用于周边农田。</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）除尘灰</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本项目1台</w:t>
            </w:r>
            <w:r>
              <w:rPr>
                <w:rFonts w:hint="eastAsia" w:ascii="Times New Roman" w:hAnsi="Times New Roman" w:eastAsia="宋体" w:cs="Times New Roman"/>
                <w:color w:val="auto"/>
                <w:sz w:val="24"/>
                <w:szCs w:val="24"/>
                <w:highlight w:val="none"/>
                <w:lang w:eastAsia="zh-CN"/>
              </w:rPr>
              <w:t>7MW</w:t>
            </w:r>
            <w:r>
              <w:rPr>
                <w:rFonts w:hint="default" w:ascii="Times New Roman" w:hAnsi="Times New Roman" w:eastAsia="宋体" w:cs="Times New Roman"/>
                <w:color w:val="auto"/>
                <w:sz w:val="24"/>
                <w:szCs w:val="24"/>
                <w:highlight w:val="none"/>
                <w:lang w:eastAsia="zh-CN"/>
              </w:rPr>
              <w:t>生物质热水锅炉</w:t>
            </w:r>
            <w:r>
              <w:rPr>
                <w:rFonts w:hint="default" w:ascii="Times New Roman" w:hAnsi="Times New Roman" w:eastAsia="宋体" w:cs="Times New Roman"/>
                <w:color w:val="auto"/>
                <w:sz w:val="24"/>
                <w:szCs w:val="24"/>
                <w:highlight w:val="none"/>
              </w:rPr>
              <w:t>废气经1台</w:t>
            </w:r>
            <w:r>
              <w:rPr>
                <w:rFonts w:hint="default" w:ascii="Times New Roman" w:hAnsi="Times New Roman" w:eastAsia="宋体" w:cs="Times New Roman"/>
                <w:color w:val="auto"/>
                <w:sz w:val="24"/>
                <w:szCs w:val="24"/>
                <w:highlight w:val="none"/>
                <w:lang w:eastAsia="zh-CN"/>
              </w:rPr>
              <w:t>多管旋风除尘器</w:t>
            </w:r>
            <w:r>
              <w:rPr>
                <w:rFonts w:hint="default" w:ascii="Times New Roman" w:hAnsi="Times New Roman" w:eastAsia="宋体" w:cs="Times New Roman"/>
                <w:color w:val="auto"/>
                <w:sz w:val="24"/>
                <w:szCs w:val="24"/>
                <w:highlight w:val="none"/>
                <w:lang w:val="en-US" w:eastAsia="zh-CN"/>
              </w:rPr>
              <w:t>+1台布袋除尘</w:t>
            </w:r>
            <w:r>
              <w:rPr>
                <w:rFonts w:hint="default" w:ascii="Times New Roman" w:hAnsi="Times New Roman" w:eastAsia="宋体" w:cs="Times New Roman"/>
                <w:color w:val="auto"/>
                <w:sz w:val="24"/>
                <w:szCs w:val="24"/>
                <w:highlight w:val="none"/>
              </w:rPr>
              <w:t>和1台</w:t>
            </w:r>
            <w:r>
              <w:rPr>
                <w:rFonts w:hint="default" w:ascii="Times New Roman" w:hAnsi="Times New Roman" w:eastAsia="宋体" w:cs="Times New Roman"/>
                <w:color w:val="auto"/>
                <w:sz w:val="24"/>
                <w:szCs w:val="24"/>
                <w:highlight w:val="none"/>
                <w:lang w:eastAsia="zh-CN"/>
              </w:rPr>
              <w:t>钠碱法脱硫塔</w:t>
            </w:r>
            <w:r>
              <w:rPr>
                <w:rFonts w:hint="default" w:ascii="Times New Roman" w:hAnsi="Times New Roman" w:eastAsia="宋体" w:cs="Times New Roman"/>
                <w:color w:val="auto"/>
                <w:sz w:val="24"/>
                <w:szCs w:val="24"/>
                <w:highlight w:val="none"/>
              </w:rPr>
              <w:t>处理，收集的颗粒物量为</w:t>
            </w:r>
            <w:r>
              <w:rPr>
                <w:rFonts w:hint="default" w:ascii="Times New Roman" w:hAnsi="Times New Roman" w:eastAsia="宋体" w:cs="Times New Roman"/>
                <w:color w:val="auto"/>
                <w:sz w:val="24"/>
                <w:szCs w:val="24"/>
                <w:highlight w:val="none"/>
                <w:lang w:val="en-US" w:eastAsia="zh-CN"/>
              </w:rPr>
              <w:t>0.8t</w:t>
            </w:r>
            <w:r>
              <w:rPr>
                <w:rFonts w:hint="default" w:ascii="Times New Roman" w:hAnsi="Times New Roman" w:eastAsia="宋体" w:cs="Times New Roman"/>
                <w:color w:val="auto"/>
                <w:sz w:val="24"/>
                <w:szCs w:val="24"/>
                <w:highlight w:val="none"/>
              </w:rPr>
              <w:t>/a，主要成分为草灰，含有钾、磷、钙、镁、硅、硫和铁、锰、铜、锌、硼、钼等微量营养元素；属于一般工业固废；暂存于全封闭灰渣间内，定期作为肥料施用于周边农田。</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灰渣间按照《一般工业固体废物贮存和填埋污染控制标准》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 18599-2020）中</w:t>
            </w:r>
            <w:r>
              <w:rPr>
                <w:rFonts w:hint="default" w:ascii="Times New Roman" w:hAnsi="Times New Roman" w:eastAsia="宋体" w:cs="Times New Roman"/>
                <w:color w:val="auto"/>
                <w:sz w:val="24"/>
                <w:szCs w:val="24"/>
                <w:highlight w:val="none"/>
                <w:lang w:eastAsia="zh-CN" w:bidi="ar"/>
              </w:rPr>
              <w:fldChar w:fldCharType="begin"/>
            </w:r>
            <w:r>
              <w:rPr>
                <w:rFonts w:hint="default" w:ascii="Times New Roman" w:hAnsi="Times New Roman" w:eastAsia="宋体" w:cs="Times New Roman"/>
                <w:color w:val="auto"/>
                <w:sz w:val="24"/>
                <w:szCs w:val="24"/>
                <w:highlight w:val="none"/>
                <w:lang w:eastAsia="zh-CN" w:bidi="ar"/>
              </w:rPr>
              <w:instrText xml:space="preserve"> = 2 \* ROMAN \* MERGEFORMAT </w:instrText>
            </w:r>
            <w:r>
              <w:rPr>
                <w:rFonts w:hint="default" w:ascii="Times New Roman" w:hAnsi="Times New Roman" w:eastAsia="宋体" w:cs="Times New Roman"/>
                <w:color w:val="auto"/>
                <w:sz w:val="24"/>
                <w:szCs w:val="24"/>
                <w:highlight w:val="none"/>
                <w:lang w:eastAsia="zh-CN" w:bidi="ar"/>
              </w:rPr>
              <w:fldChar w:fldCharType="separate"/>
            </w:r>
            <w:r>
              <w:rPr>
                <w:rFonts w:hint="default" w:ascii="Times New Roman" w:hAnsi="Times New Roman" w:eastAsia="宋体" w:cs="Times New Roman"/>
                <w:color w:val="auto"/>
                <w:sz w:val="24"/>
                <w:szCs w:val="24"/>
                <w:highlight w:val="none"/>
                <w:lang w:eastAsia="zh-CN" w:bidi="ar"/>
              </w:rPr>
              <w:t>II</w:t>
            </w:r>
            <w:r>
              <w:rPr>
                <w:rFonts w:hint="default" w:ascii="Times New Roman" w:hAnsi="Times New Roman" w:eastAsia="宋体" w:cs="Times New Roman"/>
                <w:color w:val="auto"/>
                <w:sz w:val="24"/>
                <w:szCs w:val="24"/>
                <w:highlight w:val="none"/>
                <w:lang w:eastAsia="zh-CN" w:bidi="ar"/>
              </w:rPr>
              <w:fldChar w:fldCharType="end"/>
            </w:r>
            <w:r>
              <w:rPr>
                <w:rFonts w:hint="default" w:ascii="Times New Roman" w:hAnsi="Times New Roman" w:eastAsia="宋体" w:cs="Times New Roman"/>
                <w:color w:val="auto"/>
                <w:sz w:val="24"/>
                <w:szCs w:val="24"/>
                <w:highlight w:val="none"/>
                <w:lang w:eastAsia="zh-CN" w:bidi="ar"/>
              </w:rPr>
              <w:t>类</w:t>
            </w:r>
            <w:r>
              <w:rPr>
                <w:rFonts w:hint="default" w:ascii="Times New Roman" w:hAnsi="Times New Roman" w:eastAsia="宋体" w:cs="Times New Roman"/>
                <w:color w:val="auto"/>
                <w:sz w:val="24"/>
                <w:szCs w:val="24"/>
                <w:highlight w:val="none"/>
              </w:rPr>
              <w:t>场技术要求建设。</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bidi="ar"/>
              </w:rPr>
              <w:t>3</w:t>
            </w:r>
            <w:r>
              <w:rPr>
                <w:rFonts w:hint="default" w:ascii="Times New Roman" w:hAnsi="Times New Roman" w:eastAsia="宋体" w:cs="Times New Roman"/>
                <w:b w:val="0"/>
                <w:bCs w:val="0"/>
                <w:color w:val="auto"/>
                <w:sz w:val="24"/>
                <w:szCs w:val="24"/>
                <w:highlight w:val="none"/>
                <w:lang w:bidi="ar"/>
              </w:rPr>
              <w:t>）脱硫废渣</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脱硫废渣主要来源于</w:t>
            </w:r>
            <w:r>
              <w:rPr>
                <w:rFonts w:hint="default" w:ascii="Times New Roman" w:hAnsi="Times New Roman" w:eastAsia="宋体" w:cs="Times New Roman"/>
                <w:color w:val="auto"/>
                <w:sz w:val="24"/>
                <w:szCs w:val="24"/>
                <w:highlight w:val="none"/>
                <w:lang w:eastAsia="zh-CN" w:bidi="ar"/>
              </w:rPr>
              <w:t>脱硫塔</w:t>
            </w:r>
            <w:r>
              <w:rPr>
                <w:rFonts w:hint="default" w:ascii="Times New Roman" w:hAnsi="Times New Roman" w:eastAsia="宋体" w:cs="Times New Roman"/>
                <w:color w:val="auto"/>
                <w:sz w:val="24"/>
                <w:szCs w:val="24"/>
                <w:highlight w:val="none"/>
                <w:lang w:bidi="ar"/>
              </w:rPr>
              <w:t>喷淋</w:t>
            </w:r>
            <w:r>
              <w:rPr>
                <w:rFonts w:hint="default" w:ascii="Times New Roman" w:hAnsi="Times New Roman" w:eastAsia="宋体" w:cs="Times New Roman"/>
                <w:color w:val="auto"/>
                <w:sz w:val="24"/>
                <w:szCs w:val="24"/>
                <w:highlight w:val="none"/>
                <w:lang w:eastAsia="zh-CN" w:bidi="ar"/>
              </w:rPr>
              <w:t>废水</w:t>
            </w:r>
            <w:r>
              <w:rPr>
                <w:rFonts w:hint="default" w:ascii="Times New Roman" w:hAnsi="Times New Roman" w:eastAsia="宋体" w:cs="Times New Roman"/>
                <w:color w:val="auto"/>
                <w:sz w:val="24"/>
                <w:szCs w:val="24"/>
                <w:highlight w:val="none"/>
                <w:lang w:bidi="ar"/>
              </w:rPr>
              <w:t>循环池，主要成分为</w:t>
            </w:r>
            <w:r>
              <w:rPr>
                <w:rFonts w:hint="default" w:ascii="Times New Roman" w:hAnsi="Times New Roman" w:eastAsia="宋体" w:cs="Times New Roman"/>
                <w:color w:val="auto"/>
                <w:sz w:val="24"/>
                <w:szCs w:val="24"/>
                <w:highlight w:val="none"/>
              </w:rPr>
              <w:t>Na</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lang w:bidi="ar"/>
              </w:rPr>
              <w:t>SO</w:t>
            </w:r>
            <w:r>
              <w:rPr>
                <w:rFonts w:hint="default" w:ascii="Times New Roman" w:hAnsi="Times New Roman" w:eastAsia="宋体" w:cs="Times New Roman"/>
                <w:color w:val="auto"/>
                <w:sz w:val="24"/>
                <w:szCs w:val="24"/>
                <w:highlight w:val="none"/>
                <w:vertAlign w:val="subscript"/>
                <w:lang w:val="en-US" w:eastAsia="zh-CN" w:bidi="ar"/>
              </w:rPr>
              <w:t>3</w:t>
            </w:r>
            <w:r>
              <w:rPr>
                <w:rFonts w:hint="default" w:ascii="Times New Roman" w:hAnsi="Times New Roman" w:eastAsia="宋体" w:cs="Times New Roman"/>
                <w:color w:val="auto"/>
                <w:sz w:val="24"/>
                <w:szCs w:val="24"/>
                <w:highlight w:val="none"/>
              </w:rPr>
              <w:t>和除尘灰。</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本项目脱硫药剂为片碱</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氢氧化钠），经喷淋吸收烟气中二氧化硫，发生的主要化学反应方程式如下：</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2NaOH+SO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 xml:space="preserve"> →Na</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钠碱法脱硫塔喷淋液吸收废气中的二氧化硫进入</w:t>
            </w:r>
            <w:r>
              <w:rPr>
                <w:rFonts w:hint="default" w:ascii="Times New Roman" w:hAnsi="Times New Roman" w:eastAsia="宋体" w:cs="Times New Roman"/>
                <w:color w:val="auto"/>
                <w:sz w:val="24"/>
                <w:szCs w:val="24"/>
                <w:highlight w:val="none"/>
                <w:lang w:eastAsia="zh-CN" w:bidi="ar"/>
              </w:rPr>
              <w:t>三级沉淀池</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经过一级沉淀池沉淀后，上清液流入二级沉淀池，</w:t>
            </w:r>
            <w:r>
              <w:rPr>
                <w:rFonts w:hint="default" w:ascii="Times New Roman" w:hAnsi="Times New Roman" w:eastAsia="宋体" w:cs="Times New Roman"/>
                <w:color w:val="auto"/>
                <w:sz w:val="24"/>
                <w:szCs w:val="24"/>
                <w:highlight w:val="none"/>
                <w:lang w:bidi="ar"/>
              </w:rPr>
              <w:t>上清液</w:t>
            </w:r>
            <w:r>
              <w:rPr>
                <w:rFonts w:hint="default" w:ascii="Times New Roman" w:hAnsi="Times New Roman" w:eastAsia="宋体" w:cs="Times New Roman"/>
                <w:color w:val="auto"/>
                <w:sz w:val="24"/>
                <w:szCs w:val="24"/>
                <w:highlight w:val="none"/>
                <w:lang w:eastAsia="zh-CN" w:bidi="ar"/>
              </w:rPr>
              <w:t>通过</w:t>
            </w:r>
            <w:r>
              <w:rPr>
                <w:rFonts w:hint="default" w:ascii="Times New Roman" w:hAnsi="Times New Roman" w:eastAsia="宋体" w:cs="Times New Roman"/>
                <w:color w:val="auto"/>
                <w:sz w:val="24"/>
                <w:szCs w:val="24"/>
                <w:highlight w:val="none"/>
                <w:lang w:bidi="ar"/>
              </w:rPr>
              <w:t>二级沉淀池澄清后进入清水池，清水池补加新水、加入</w:t>
            </w:r>
            <w:r>
              <w:rPr>
                <w:rFonts w:hint="default" w:ascii="Times New Roman" w:hAnsi="Times New Roman" w:eastAsia="宋体" w:cs="Times New Roman"/>
                <w:color w:val="auto"/>
                <w:sz w:val="24"/>
                <w:szCs w:val="24"/>
                <w:highlight w:val="none"/>
                <w:lang w:eastAsia="zh-CN" w:bidi="ar"/>
              </w:rPr>
              <w:t>片</w:t>
            </w:r>
            <w:r>
              <w:rPr>
                <w:rFonts w:hint="default" w:ascii="Times New Roman" w:hAnsi="Times New Roman" w:eastAsia="宋体" w:cs="Times New Roman"/>
                <w:color w:val="auto"/>
                <w:sz w:val="24"/>
                <w:szCs w:val="24"/>
                <w:highlight w:val="none"/>
                <w:lang w:bidi="ar"/>
              </w:rPr>
              <w:t>碱调节pH值后，再由泵抽送至</w:t>
            </w:r>
            <w:r>
              <w:rPr>
                <w:rFonts w:hint="default" w:ascii="Times New Roman" w:hAnsi="Times New Roman" w:eastAsia="宋体" w:cs="Times New Roman"/>
                <w:color w:val="auto"/>
                <w:sz w:val="24"/>
                <w:szCs w:val="24"/>
                <w:highlight w:val="none"/>
                <w:lang w:eastAsia="zh-CN" w:bidi="ar"/>
              </w:rPr>
              <w:t>钠碱法脱硫塔</w:t>
            </w:r>
            <w:r>
              <w:rPr>
                <w:rFonts w:hint="default" w:ascii="Times New Roman" w:hAnsi="Times New Roman" w:eastAsia="宋体" w:cs="Times New Roman"/>
                <w:color w:val="auto"/>
                <w:sz w:val="24"/>
                <w:szCs w:val="24"/>
                <w:highlight w:val="none"/>
                <w:lang w:bidi="ar"/>
              </w:rPr>
              <w:t>循环使用。</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相对分子量64）和Na</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相对分子量1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6）的摩尔比例为 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1，本项目SO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去除量为</w:t>
            </w:r>
            <w:r>
              <w:rPr>
                <w:rFonts w:hint="default" w:ascii="Times New Roman" w:hAnsi="Times New Roman" w:eastAsia="宋体" w:cs="Times New Roman"/>
                <w:color w:val="auto"/>
                <w:sz w:val="24"/>
                <w:szCs w:val="24"/>
                <w:highlight w:val="none"/>
                <w:lang w:val="en-US" w:eastAsia="zh-CN"/>
              </w:rPr>
              <w:t>1.56</w:t>
            </w:r>
            <w:r>
              <w:rPr>
                <w:rFonts w:hint="default" w:ascii="Times New Roman" w:hAnsi="Times New Roman" w:eastAsia="宋体" w:cs="Times New Roman"/>
                <w:color w:val="auto"/>
                <w:sz w:val="24"/>
                <w:szCs w:val="24"/>
                <w:highlight w:val="none"/>
              </w:rPr>
              <w:t>t/a，通过核算产生脱硫渣</w:t>
            </w:r>
            <w:r>
              <w:rPr>
                <w:rFonts w:hint="default" w:ascii="Times New Roman" w:hAnsi="Times New Roman" w:eastAsia="宋体" w:cs="Times New Roman"/>
                <w:color w:val="auto"/>
                <w:sz w:val="24"/>
                <w:szCs w:val="24"/>
                <w:highlight w:val="none"/>
                <w:lang w:val="en-US" w:eastAsia="zh-CN"/>
              </w:rPr>
              <w:t>3.07</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bidi="ar"/>
              </w:rPr>
              <w:t>干量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bidi="ar"/>
              </w:rPr>
              <w:t>脱硫废渣经干化后含水率约30%为</w:t>
            </w:r>
            <w:r>
              <w:rPr>
                <w:rFonts w:hint="default" w:ascii="Times New Roman" w:hAnsi="Times New Roman" w:eastAsia="宋体" w:cs="Times New Roman"/>
                <w:color w:val="auto"/>
                <w:sz w:val="24"/>
                <w:szCs w:val="24"/>
                <w:highlight w:val="none"/>
                <w:lang w:val="en-US" w:eastAsia="zh-CN" w:bidi="ar"/>
              </w:rPr>
              <w:t>4.39</w:t>
            </w:r>
            <w:r>
              <w:rPr>
                <w:rFonts w:hint="default" w:ascii="Times New Roman" w:hAnsi="Times New Roman" w:eastAsia="宋体" w:cs="Times New Roman"/>
                <w:color w:val="auto"/>
                <w:sz w:val="24"/>
                <w:szCs w:val="24"/>
                <w:highlight w:val="none"/>
                <w:lang w:bidi="ar"/>
              </w:rPr>
              <w:t>t/a。</w:t>
            </w:r>
            <w:r>
              <w:rPr>
                <w:rFonts w:hint="default" w:ascii="Times New Roman" w:hAnsi="Times New Roman" w:eastAsia="宋体" w:cs="Times New Roman"/>
                <w:color w:val="auto"/>
                <w:sz w:val="24"/>
                <w:szCs w:val="24"/>
                <w:highlight w:val="none"/>
                <w:lang w:val="en-US" w:eastAsia="zh-CN"/>
              </w:rPr>
              <w:t>钠碱法脱硫塔</w:t>
            </w:r>
            <w:r>
              <w:rPr>
                <w:rFonts w:hint="default" w:ascii="Times New Roman" w:hAnsi="Times New Roman" w:eastAsia="宋体" w:cs="Times New Roman"/>
                <w:color w:val="auto"/>
                <w:sz w:val="24"/>
                <w:szCs w:val="24"/>
                <w:highlight w:val="none"/>
                <w:lang w:eastAsia="zh-CN"/>
              </w:rPr>
              <w:t>底部设置</w:t>
            </w:r>
            <w:r>
              <w:rPr>
                <w:rFonts w:hint="default" w:ascii="Times New Roman" w:hAnsi="Times New Roman" w:eastAsia="宋体" w:cs="Times New Roman"/>
                <w:color w:val="auto"/>
                <w:sz w:val="24"/>
                <w:szCs w:val="24"/>
                <w:highlight w:val="none"/>
                <w:lang w:val="en-US" w:eastAsia="zh-CN"/>
              </w:rPr>
              <w:t>1座三级沉淀池，</w:t>
            </w:r>
            <w:r>
              <w:rPr>
                <w:rFonts w:hint="default" w:ascii="Times New Roman" w:hAnsi="Times New Roman" w:eastAsia="宋体" w:cs="Times New Roman"/>
                <w:color w:val="auto"/>
                <w:sz w:val="24"/>
                <w:szCs w:val="24"/>
                <w:highlight w:val="none"/>
                <w:lang w:bidi="ar"/>
              </w:rPr>
              <w:t>沉淀池底部</w:t>
            </w:r>
            <w:r>
              <w:rPr>
                <w:rFonts w:hint="default" w:ascii="Times New Roman" w:hAnsi="Times New Roman" w:eastAsia="宋体" w:cs="Times New Roman"/>
                <w:color w:val="auto"/>
                <w:sz w:val="24"/>
                <w:szCs w:val="24"/>
                <w:highlight w:val="none"/>
                <w:lang w:eastAsia="zh-CN" w:bidi="ar"/>
              </w:rPr>
              <w:t>脱硫渣</w:t>
            </w:r>
            <w:r>
              <w:rPr>
                <w:rFonts w:hint="default" w:ascii="Times New Roman" w:hAnsi="Times New Roman" w:eastAsia="宋体" w:cs="Times New Roman"/>
                <w:color w:val="auto"/>
                <w:sz w:val="24"/>
                <w:szCs w:val="24"/>
                <w:highlight w:val="none"/>
                <w:lang w:bidi="ar"/>
              </w:rPr>
              <w:t>定期抽入</w:t>
            </w:r>
            <w:r>
              <w:rPr>
                <w:rFonts w:hint="default" w:ascii="Times New Roman" w:hAnsi="Times New Roman" w:eastAsia="宋体" w:cs="Times New Roman"/>
                <w:color w:val="auto"/>
                <w:sz w:val="24"/>
                <w:szCs w:val="24"/>
                <w:highlight w:val="none"/>
                <w:lang w:eastAsia="zh-CN" w:bidi="ar"/>
              </w:rPr>
              <w:t>脱硫渣干化池（</w:t>
            </w:r>
            <w:r>
              <w:rPr>
                <w:rFonts w:hint="default" w:ascii="Times New Roman" w:hAnsi="Times New Roman" w:eastAsia="宋体" w:cs="Times New Roman"/>
                <w:color w:val="auto"/>
                <w:sz w:val="24"/>
                <w:szCs w:val="24"/>
                <w:highlight w:val="none"/>
                <w:lang w:bidi="ar"/>
              </w:rPr>
              <w:t>容积2m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），可满足干化要求，</w:t>
            </w:r>
            <w:r>
              <w:rPr>
                <w:rFonts w:hint="default" w:ascii="Times New Roman" w:hAnsi="Times New Roman" w:eastAsia="宋体" w:cs="Times New Roman"/>
                <w:color w:val="auto"/>
                <w:sz w:val="24"/>
                <w:szCs w:val="24"/>
                <w:highlight w:val="none"/>
                <w:lang w:eastAsia="zh-CN" w:bidi="ar"/>
              </w:rPr>
              <w:t>脱硫渣干化池</w:t>
            </w:r>
            <w:r>
              <w:rPr>
                <w:rFonts w:hint="default" w:ascii="Times New Roman" w:hAnsi="Times New Roman" w:eastAsia="宋体" w:cs="Times New Roman"/>
                <w:color w:val="auto"/>
                <w:sz w:val="24"/>
                <w:szCs w:val="24"/>
                <w:highlight w:val="none"/>
                <w:lang w:bidi="ar"/>
              </w:rPr>
              <w:t>内</w:t>
            </w:r>
            <w:r>
              <w:rPr>
                <w:rFonts w:hint="default" w:ascii="Times New Roman" w:hAnsi="Times New Roman" w:eastAsia="宋体" w:cs="Times New Roman"/>
                <w:color w:val="auto"/>
                <w:sz w:val="24"/>
                <w:szCs w:val="24"/>
                <w:highlight w:val="none"/>
                <w:lang w:eastAsia="zh-CN" w:bidi="ar"/>
              </w:rPr>
              <w:t>脱硫渣</w:t>
            </w:r>
            <w:r>
              <w:rPr>
                <w:rFonts w:hint="default" w:ascii="Times New Roman" w:hAnsi="Times New Roman" w:eastAsia="宋体" w:cs="Times New Roman"/>
                <w:color w:val="auto"/>
                <w:sz w:val="24"/>
                <w:szCs w:val="24"/>
                <w:highlight w:val="none"/>
                <w:lang w:bidi="ar"/>
              </w:rPr>
              <w:t>定期清运至建材公司综合利用</w:t>
            </w:r>
            <w:r>
              <w:rPr>
                <w:rFonts w:hint="default" w:ascii="Times New Roman" w:hAnsi="Times New Roman" w:eastAsia="宋体" w:cs="Times New Roman"/>
                <w:color w:val="auto"/>
                <w:sz w:val="24"/>
                <w:szCs w:val="24"/>
                <w:highlight w:val="none"/>
                <w:lang w:eastAsia="zh-CN" w:bidi="ar"/>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）废饱和树脂</w:t>
            </w:r>
          </w:p>
          <w:p>
            <w:pPr>
              <w:pStyle w:val="10"/>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本项目设置</w:t>
            </w:r>
            <w:r>
              <w:rPr>
                <w:rFonts w:hint="default" w:ascii="Times New Roman" w:hAnsi="Times New Roman" w:eastAsia="宋体" w:cs="Times New Roman"/>
                <w:color w:val="auto"/>
                <w:sz w:val="24"/>
                <w:szCs w:val="24"/>
                <w:highlight w:val="none"/>
              </w:rPr>
              <w:t>1台10t/h</w:t>
            </w:r>
            <w:r>
              <w:rPr>
                <w:rFonts w:hint="default" w:ascii="Times New Roman" w:hAnsi="Times New Roman" w:eastAsia="宋体" w:cs="Times New Roman"/>
                <w:color w:val="auto"/>
                <w:sz w:val="24"/>
                <w:szCs w:val="24"/>
                <w:highlight w:val="none"/>
                <w:lang w:eastAsia="zh-CN"/>
              </w:rPr>
              <w:t>软水制备装置，交换树脂</w:t>
            </w:r>
            <w:r>
              <w:rPr>
                <w:rFonts w:hint="default" w:ascii="Times New Roman" w:hAnsi="Times New Roman" w:eastAsia="宋体" w:cs="Times New Roman"/>
                <w:color w:val="auto"/>
                <w:sz w:val="24"/>
                <w:szCs w:val="24"/>
                <w:highlight w:val="none"/>
              </w:rPr>
              <w:t>充装量为0.6t，2年</w:t>
            </w:r>
            <w:r>
              <w:rPr>
                <w:rFonts w:hint="default" w:ascii="Times New Roman" w:hAnsi="Times New Roman" w:eastAsia="宋体" w:cs="Times New Roman"/>
                <w:color w:val="auto"/>
                <w:sz w:val="24"/>
                <w:szCs w:val="24"/>
                <w:highlight w:val="none"/>
                <w:lang w:eastAsia="zh-CN"/>
              </w:rPr>
              <w:t>更换一次，则</w:t>
            </w:r>
            <w:r>
              <w:rPr>
                <w:rFonts w:hint="default" w:ascii="Times New Roman" w:hAnsi="Times New Roman" w:eastAsia="宋体" w:cs="Times New Roman"/>
                <w:color w:val="auto"/>
                <w:sz w:val="24"/>
                <w:szCs w:val="24"/>
                <w:highlight w:val="none"/>
              </w:rPr>
              <w:t>废饱和树脂</w:t>
            </w:r>
            <w:r>
              <w:rPr>
                <w:rFonts w:hint="default" w:ascii="Times New Roman" w:hAnsi="Times New Roman" w:eastAsia="宋体" w:cs="Times New Roman"/>
                <w:color w:val="auto"/>
                <w:sz w:val="24"/>
                <w:szCs w:val="24"/>
                <w:highlight w:val="none"/>
                <w:lang w:eastAsia="zh-CN"/>
              </w:rPr>
              <w:t>产生量为</w:t>
            </w:r>
            <w:r>
              <w:rPr>
                <w:rFonts w:hint="default" w:ascii="Times New Roman" w:hAnsi="Times New Roman" w:eastAsia="宋体" w:cs="Times New Roman"/>
                <w:color w:val="auto"/>
                <w:sz w:val="24"/>
                <w:szCs w:val="24"/>
                <w:highlight w:val="none"/>
                <w:lang w:val="en-US" w:eastAsia="zh-CN"/>
              </w:rPr>
              <w:t>0.3t/a，</w:t>
            </w:r>
            <w:r>
              <w:rPr>
                <w:rFonts w:hint="default" w:ascii="Times New Roman" w:hAnsi="Times New Roman" w:eastAsia="宋体" w:cs="Times New Roman"/>
                <w:color w:val="auto"/>
                <w:sz w:val="24"/>
                <w:szCs w:val="24"/>
                <w:highlight w:val="none"/>
              </w:rPr>
              <w:t>属于一般工业固体废物，由销售厂家直接回收，不在厂区内储存</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32"/>
              </w:rPr>
            </w:pPr>
            <w:r>
              <w:rPr>
                <w:rFonts w:hint="default" w:ascii="Times New Roman" w:hAnsi="Times New Roman" w:eastAsia="宋体" w:cs="Times New Roman"/>
                <w:b w:val="0"/>
                <w:bCs w:val="0"/>
                <w:color w:val="auto"/>
                <w:sz w:val="24"/>
                <w:szCs w:val="32"/>
                <w:lang w:eastAsia="zh-CN"/>
              </w:rPr>
              <w:t>（</w:t>
            </w:r>
            <w:r>
              <w:rPr>
                <w:rFonts w:hint="default" w:ascii="Times New Roman" w:hAnsi="Times New Roman" w:eastAsia="宋体" w:cs="Times New Roman"/>
                <w:b w:val="0"/>
                <w:bCs w:val="0"/>
                <w:color w:val="auto"/>
                <w:sz w:val="24"/>
                <w:szCs w:val="32"/>
                <w:lang w:val="en-US" w:eastAsia="zh-CN"/>
              </w:rPr>
              <w:t>5</w:t>
            </w:r>
            <w:r>
              <w:rPr>
                <w:rFonts w:hint="default" w:ascii="Times New Roman" w:hAnsi="Times New Roman" w:eastAsia="宋体" w:cs="Times New Roman"/>
                <w:b w:val="0"/>
                <w:bCs w:val="0"/>
                <w:color w:val="auto"/>
                <w:sz w:val="24"/>
                <w:szCs w:val="32"/>
              </w:rPr>
              <w:t>）生活垃圾</w:t>
            </w:r>
          </w:p>
          <w:p>
            <w:pPr>
              <w:pStyle w:val="10"/>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32"/>
              </w:rPr>
              <w:t>本项目工作人员</w:t>
            </w:r>
            <w:r>
              <w:rPr>
                <w:rFonts w:hint="default" w:ascii="Times New Roman" w:hAnsi="Times New Roman" w:eastAsia="宋体" w:cs="Times New Roman"/>
                <w:color w:val="auto"/>
                <w:sz w:val="24"/>
                <w:szCs w:val="32"/>
                <w:lang w:val="en-US" w:eastAsia="zh-CN"/>
              </w:rPr>
              <w:t>5</w:t>
            </w:r>
            <w:r>
              <w:rPr>
                <w:rFonts w:hint="default" w:ascii="Times New Roman" w:hAnsi="Times New Roman" w:eastAsia="宋体" w:cs="Times New Roman"/>
                <w:color w:val="auto"/>
                <w:sz w:val="24"/>
                <w:szCs w:val="32"/>
              </w:rPr>
              <w:t>人，产生量按0.</w:t>
            </w:r>
            <w:r>
              <w:rPr>
                <w:rFonts w:hint="default" w:ascii="Times New Roman" w:hAnsi="Times New Roman" w:eastAsia="宋体" w:cs="Times New Roman"/>
                <w:color w:val="auto"/>
                <w:sz w:val="24"/>
                <w:szCs w:val="32"/>
                <w:lang w:val="en-US" w:eastAsia="zh-CN"/>
              </w:rPr>
              <w:t>5</w:t>
            </w:r>
            <w:r>
              <w:rPr>
                <w:rFonts w:hint="default" w:ascii="Times New Roman" w:hAnsi="Times New Roman" w:eastAsia="宋体" w:cs="Times New Roman"/>
                <w:color w:val="auto"/>
                <w:sz w:val="24"/>
                <w:szCs w:val="32"/>
              </w:rPr>
              <w:t>kg/人·d计，全年工作时间为</w:t>
            </w:r>
            <w:r>
              <w:rPr>
                <w:rFonts w:hint="default" w:ascii="Times New Roman" w:hAnsi="Times New Roman" w:eastAsia="宋体" w:cs="Times New Roman"/>
                <w:color w:val="auto"/>
                <w:sz w:val="24"/>
                <w:szCs w:val="32"/>
                <w:lang w:val="en-US" w:eastAsia="zh-CN"/>
              </w:rPr>
              <w:t>180</w:t>
            </w:r>
            <w:r>
              <w:rPr>
                <w:rFonts w:hint="default" w:ascii="Times New Roman" w:hAnsi="Times New Roman" w:eastAsia="宋体" w:cs="Times New Roman"/>
                <w:color w:val="auto"/>
                <w:sz w:val="24"/>
                <w:szCs w:val="32"/>
              </w:rPr>
              <w:t>天</w:t>
            </w:r>
            <w:r>
              <w:rPr>
                <w:rFonts w:hint="default" w:ascii="Times New Roman" w:hAnsi="Times New Roman" w:eastAsia="宋体" w:cs="Times New Roman"/>
                <w:color w:val="auto"/>
                <w:sz w:val="24"/>
                <w:szCs w:val="32"/>
                <w:lang w:eastAsia="zh-CN"/>
              </w:rPr>
              <w:t>，产生量为</w:t>
            </w:r>
            <w:r>
              <w:rPr>
                <w:rFonts w:hint="default" w:ascii="Times New Roman" w:hAnsi="Times New Roman" w:eastAsia="宋体" w:cs="Times New Roman"/>
                <w:color w:val="auto"/>
                <w:sz w:val="24"/>
                <w:szCs w:val="32"/>
                <w:lang w:val="en-US" w:eastAsia="zh-CN"/>
              </w:rPr>
              <w:t>2.5kg/d（0.45t</w:t>
            </w:r>
            <w:r>
              <w:rPr>
                <w:rFonts w:hint="default" w:ascii="Times New Roman" w:hAnsi="Times New Roman" w:eastAsia="宋体" w:cs="Times New Roman"/>
                <w:color w:val="auto"/>
                <w:sz w:val="24"/>
                <w:szCs w:val="32"/>
              </w:rPr>
              <w:t>/a</w:t>
            </w:r>
            <w:r>
              <w:rPr>
                <w:rFonts w:hint="default" w:ascii="Times New Roman" w:hAnsi="Times New Roman" w:eastAsia="宋体" w:cs="Times New Roman"/>
                <w:color w:val="auto"/>
                <w:sz w:val="24"/>
                <w:szCs w:val="32"/>
                <w:lang w:val="en-US" w:eastAsia="zh-CN"/>
              </w:rPr>
              <w:t>）</w:t>
            </w:r>
            <w:r>
              <w:rPr>
                <w:rFonts w:hint="default" w:ascii="Times New Roman" w:hAnsi="Times New Roman" w:eastAsia="宋体" w:cs="Times New Roman"/>
                <w:color w:val="auto"/>
                <w:sz w:val="24"/>
                <w:szCs w:val="32"/>
              </w:rPr>
              <w:t>，经垃圾桶收集后，定期运至环卫部门指定地点</w:t>
            </w:r>
            <w:r>
              <w:rPr>
                <w:rFonts w:hint="default" w:ascii="Times New Roman" w:hAnsi="Times New Roman" w:eastAsia="宋体" w:cs="Times New Roman"/>
                <w:color w:val="auto"/>
                <w:sz w:val="24"/>
                <w:szCs w:val="24"/>
                <w:highlight w:val="none"/>
              </w:rPr>
              <w:t>。</w:t>
            </w:r>
            <w:bookmarkStart w:id="24" w:name="_Toc324927482"/>
            <w:bookmarkStart w:id="25" w:name="_Toc309848672"/>
            <w:bookmarkStart w:id="26" w:name="_Toc334631474"/>
            <w:bookmarkStart w:id="27" w:name="_Toc294126805"/>
          </w:p>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val="en-US" w:eastAsia="zh-CN"/>
              </w:rPr>
              <w:t xml:space="preserve">-6   </w:t>
            </w:r>
            <w:r>
              <w:rPr>
                <w:rFonts w:hint="default" w:ascii="Times New Roman" w:hAnsi="Times New Roman" w:eastAsia="宋体" w:cs="Times New Roman"/>
                <w:b/>
                <w:color w:val="auto"/>
                <w:sz w:val="24"/>
                <w:szCs w:val="24"/>
                <w:highlight w:val="none"/>
              </w:rPr>
              <w:t>项目固体废物分析结果汇总表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074"/>
              <w:gridCol w:w="2305"/>
              <w:gridCol w:w="698"/>
              <w:gridCol w:w="115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1263"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废物名称</w:t>
                  </w:r>
                </w:p>
              </w:tc>
              <w:tc>
                <w:tcPr>
                  <w:tcW w:w="14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产生工序</w:t>
                  </w:r>
                </w:p>
              </w:tc>
              <w:tc>
                <w:tcPr>
                  <w:tcW w:w="42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7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属性</w:t>
                  </w:r>
                </w:p>
              </w:tc>
              <w:tc>
                <w:tcPr>
                  <w:tcW w:w="777"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63"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炉灰渣</w:t>
                  </w:r>
                </w:p>
              </w:tc>
              <w:tc>
                <w:tcPr>
                  <w:tcW w:w="14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出渣机</w:t>
                  </w:r>
                </w:p>
              </w:tc>
              <w:tc>
                <w:tcPr>
                  <w:tcW w:w="42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7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一般固废</w:t>
                  </w:r>
                </w:p>
              </w:tc>
              <w:tc>
                <w:tcPr>
                  <w:tcW w:w="777"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63"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除尘灰</w:t>
                  </w:r>
                </w:p>
              </w:tc>
              <w:tc>
                <w:tcPr>
                  <w:tcW w:w="14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锅炉及锅炉除尘器</w:t>
                  </w:r>
                </w:p>
              </w:tc>
              <w:tc>
                <w:tcPr>
                  <w:tcW w:w="42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7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一般固废</w:t>
                  </w:r>
                </w:p>
              </w:tc>
              <w:tc>
                <w:tcPr>
                  <w:tcW w:w="777"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2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63"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脱硫废渣</w:t>
                  </w:r>
                </w:p>
              </w:tc>
              <w:tc>
                <w:tcPr>
                  <w:tcW w:w="14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碱法湿式脱硫除尘器</w:t>
                  </w:r>
                </w:p>
              </w:tc>
              <w:tc>
                <w:tcPr>
                  <w:tcW w:w="42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7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一般固废</w:t>
                  </w:r>
                </w:p>
              </w:tc>
              <w:tc>
                <w:tcPr>
                  <w:tcW w:w="777"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63"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废弃离子交换树脂</w:t>
                  </w:r>
                </w:p>
              </w:tc>
              <w:tc>
                <w:tcPr>
                  <w:tcW w:w="14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制备软水</w:t>
                  </w:r>
                </w:p>
              </w:tc>
              <w:tc>
                <w:tcPr>
                  <w:tcW w:w="42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7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777"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263"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4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工作人员</w:t>
                  </w:r>
                </w:p>
              </w:tc>
              <w:tc>
                <w:tcPr>
                  <w:tcW w:w="42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704"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一般固废</w:t>
                  </w:r>
                </w:p>
              </w:tc>
              <w:tc>
                <w:tcPr>
                  <w:tcW w:w="777"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0.45</w:t>
                  </w:r>
                </w:p>
              </w:tc>
            </w:tr>
          </w:tbl>
          <w:p>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4-7</w:t>
            </w:r>
            <w:r>
              <w:rPr>
                <w:rFonts w:hint="default" w:ascii="Times New Roman" w:hAnsi="Times New Roman" w:eastAsia="宋体" w:cs="Times New Roman"/>
                <w:b/>
                <w:bCs/>
                <w:color w:val="auto"/>
                <w:sz w:val="24"/>
                <w:szCs w:val="24"/>
              </w:rPr>
              <w:t xml:space="preserve">   生物质锅炉改建前后主要污染物“三本账”一览表   单位：t/a</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917"/>
              <w:gridCol w:w="1182"/>
              <w:gridCol w:w="1182"/>
              <w:gridCol w:w="1183"/>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917"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8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改扩建前排放量</w:t>
                  </w:r>
                </w:p>
              </w:tc>
              <w:tc>
                <w:tcPr>
                  <w:tcW w:w="118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本项目排放量</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“以新代老”消减量</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改扩建后排放量</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增减量变化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917"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颗粒物</w:t>
                  </w:r>
                </w:p>
              </w:tc>
              <w:tc>
                <w:tcPr>
                  <w:tcW w:w="11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w:t>
                  </w:r>
                </w:p>
              </w:tc>
              <w:tc>
                <w:tcPr>
                  <w:tcW w:w="11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0.021</w:t>
                  </w:r>
                </w:p>
              </w:tc>
              <w:tc>
                <w:tcPr>
                  <w:tcW w:w="11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w:t>
                  </w:r>
                </w:p>
              </w:tc>
              <w:tc>
                <w:tcPr>
                  <w:tcW w:w="11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0.021</w:t>
                  </w:r>
                </w:p>
              </w:tc>
              <w:tc>
                <w:tcPr>
                  <w:tcW w:w="11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jc w:val="center"/>
                    <w:rPr>
                      <w:rFonts w:hint="default" w:ascii="Times New Roman" w:hAnsi="Times New Roman" w:eastAsia="宋体" w:cs="Times New Roman"/>
                      <w:color w:val="auto"/>
                      <w:sz w:val="21"/>
                      <w:szCs w:val="21"/>
                    </w:rPr>
                  </w:pPr>
                </w:p>
              </w:tc>
              <w:tc>
                <w:tcPr>
                  <w:tcW w:w="1917" w:type="dxa"/>
                  <w:noWrap w:val="0"/>
                  <w:vAlign w:val="center"/>
                </w:tcPr>
                <w:p>
                  <w:pPr>
                    <w:pStyle w:val="7"/>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二氧化硫</w:t>
                  </w:r>
                </w:p>
              </w:tc>
              <w:tc>
                <w:tcPr>
                  <w:tcW w:w="11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0.81</w:t>
                  </w:r>
                </w:p>
              </w:tc>
              <w:tc>
                <w:tcPr>
                  <w:tcW w:w="11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0.39</w:t>
                  </w:r>
                </w:p>
              </w:tc>
              <w:tc>
                <w:tcPr>
                  <w:tcW w:w="11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0.81</w:t>
                  </w:r>
                </w:p>
              </w:tc>
              <w:tc>
                <w:tcPr>
                  <w:tcW w:w="11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0.39</w:t>
                  </w:r>
                </w:p>
              </w:tc>
              <w:tc>
                <w:tcPr>
                  <w:tcW w:w="1183" w:type="dxa"/>
                  <w:noWrap w:val="0"/>
                  <w:vAlign w:val="center"/>
                </w:tcPr>
                <w:p>
                  <w:pPr>
                    <w:pStyle w:val="7"/>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jc w:val="center"/>
                    <w:rPr>
                      <w:rFonts w:hint="default" w:ascii="Times New Roman" w:hAnsi="Times New Roman" w:eastAsia="宋体" w:cs="Times New Roman"/>
                      <w:color w:val="auto"/>
                      <w:sz w:val="21"/>
                      <w:szCs w:val="21"/>
                    </w:rPr>
                  </w:pPr>
                </w:p>
              </w:tc>
              <w:tc>
                <w:tcPr>
                  <w:tcW w:w="1917" w:type="dxa"/>
                  <w:noWrap w:val="0"/>
                  <w:vAlign w:val="center"/>
                </w:tcPr>
                <w:p>
                  <w:pPr>
                    <w:pStyle w:val="7"/>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氮氧化物</w:t>
                  </w:r>
                </w:p>
              </w:tc>
              <w:tc>
                <w:tcPr>
                  <w:tcW w:w="11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2.12</w:t>
                  </w:r>
                </w:p>
              </w:tc>
              <w:tc>
                <w:tcPr>
                  <w:tcW w:w="11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1.67</w:t>
                  </w:r>
                </w:p>
              </w:tc>
              <w:tc>
                <w:tcPr>
                  <w:tcW w:w="11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2.12</w:t>
                  </w:r>
                </w:p>
              </w:tc>
              <w:tc>
                <w:tcPr>
                  <w:tcW w:w="11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1.67</w:t>
                  </w:r>
                </w:p>
              </w:tc>
              <w:tc>
                <w:tcPr>
                  <w:tcW w:w="1183" w:type="dxa"/>
                  <w:noWrap w:val="0"/>
                  <w:vAlign w:val="center"/>
                </w:tcPr>
                <w:p>
                  <w:pPr>
                    <w:pStyle w:val="7"/>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jc w:val="center"/>
                    <w:rPr>
                      <w:rFonts w:hint="default" w:ascii="Times New Roman" w:hAnsi="Times New Roman" w:eastAsia="宋体" w:cs="Times New Roman"/>
                      <w:color w:val="auto"/>
                      <w:sz w:val="21"/>
                      <w:szCs w:val="21"/>
                    </w:rPr>
                  </w:pPr>
                </w:p>
              </w:tc>
              <w:tc>
                <w:tcPr>
                  <w:tcW w:w="1917"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汞及其化合物</w:t>
                  </w:r>
                </w:p>
              </w:tc>
              <w:tc>
                <w:tcPr>
                  <w:tcW w:w="11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0.00016</w:t>
                  </w:r>
                </w:p>
              </w:tc>
              <w:tc>
                <w:tcPr>
                  <w:tcW w:w="118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0.000013</w:t>
                  </w:r>
                </w:p>
              </w:tc>
              <w:tc>
                <w:tcPr>
                  <w:tcW w:w="11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0.00016</w:t>
                  </w:r>
                </w:p>
              </w:tc>
              <w:tc>
                <w:tcPr>
                  <w:tcW w:w="118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0.000013</w:t>
                  </w:r>
                </w:p>
              </w:tc>
              <w:tc>
                <w:tcPr>
                  <w:tcW w:w="1183" w:type="dxa"/>
                  <w:noWrap w:val="0"/>
                  <w:vAlign w:val="center"/>
                </w:tcPr>
                <w:p>
                  <w:pPr>
                    <w:pStyle w:val="7"/>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917"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sz w:val="21"/>
                      <w:szCs w:val="21"/>
                      <w:u w:val="none"/>
                    </w:rPr>
                    <w:t>生活污水</w:t>
                  </w:r>
                </w:p>
              </w:tc>
              <w:tc>
                <w:tcPr>
                  <w:tcW w:w="118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57.6</w:t>
                  </w:r>
                </w:p>
              </w:tc>
              <w:tc>
                <w:tcPr>
                  <w:tcW w:w="118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57.6</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jc w:val="center"/>
                    <w:rPr>
                      <w:rFonts w:hint="default" w:ascii="Times New Roman" w:hAnsi="Times New Roman" w:eastAsia="宋体" w:cs="Times New Roman"/>
                      <w:color w:val="auto"/>
                      <w:sz w:val="21"/>
                      <w:szCs w:val="21"/>
                    </w:rPr>
                  </w:pPr>
                </w:p>
              </w:tc>
              <w:tc>
                <w:tcPr>
                  <w:tcW w:w="1917" w:type="dxa"/>
                  <w:noWrap w:val="0"/>
                  <w:vAlign w:val="center"/>
                </w:tcPr>
                <w:p>
                  <w:pPr>
                    <w:tabs>
                      <w:tab w:val="left" w:pos="0"/>
                    </w:tabs>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锅炉定期排污水</w:t>
                  </w:r>
                </w:p>
              </w:tc>
              <w:tc>
                <w:tcPr>
                  <w:tcW w:w="118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jc w:val="center"/>
                    <w:rPr>
                      <w:rFonts w:hint="default" w:ascii="Times New Roman" w:hAnsi="Times New Roman" w:eastAsia="宋体" w:cs="Times New Roman"/>
                      <w:color w:val="auto"/>
                      <w:sz w:val="21"/>
                      <w:szCs w:val="21"/>
                    </w:rPr>
                  </w:pPr>
                </w:p>
              </w:tc>
              <w:tc>
                <w:tcPr>
                  <w:tcW w:w="1917" w:type="dxa"/>
                  <w:noWrap w:val="0"/>
                  <w:vAlign w:val="center"/>
                </w:tcPr>
                <w:p>
                  <w:pPr>
                    <w:tabs>
                      <w:tab w:val="left" w:pos="0"/>
                    </w:tabs>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软水制备废水</w:t>
                  </w:r>
                </w:p>
              </w:tc>
              <w:tc>
                <w:tcPr>
                  <w:tcW w:w="118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118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jc w:val="center"/>
                    <w:rPr>
                      <w:rFonts w:hint="default" w:ascii="Times New Roman" w:hAnsi="Times New Roman" w:eastAsia="宋体" w:cs="Times New Roman"/>
                      <w:color w:val="auto"/>
                      <w:sz w:val="21"/>
                      <w:szCs w:val="21"/>
                    </w:rPr>
                  </w:pPr>
                </w:p>
              </w:tc>
              <w:tc>
                <w:tcPr>
                  <w:tcW w:w="1917"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出渣机废水</w:t>
                  </w:r>
                </w:p>
              </w:tc>
              <w:tc>
                <w:tcPr>
                  <w:tcW w:w="118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jc w:val="center"/>
                    <w:rPr>
                      <w:rFonts w:hint="default" w:ascii="Times New Roman" w:hAnsi="Times New Roman" w:eastAsia="宋体" w:cs="Times New Roman"/>
                      <w:color w:val="auto"/>
                      <w:sz w:val="21"/>
                      <w:szCs w:val="21"/>
                    </w:rPr>
                  </w:pPr>
                </w:p>
              </w:tc>
              <w:tc>
                <w:tcPr>
                  <w:tcW w:w="1917"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脱硫废水</w:t>
                  </w:r>
                </w:p>
              </w:tc>
              <w:tc>
                <w:tcPr>
                  <w:tcW w:w="118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8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restart"/>
                  <w:noWrap w:val="0"/>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917"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炉渣</w:t>
                  </w:r>
                </w:p>
              </w:tc>
              <w:tc>
                <w:tcPr>
                  <w:tcW w:w="1182"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120.5</w:t>
                  </w:r>
                </w:p>
              </w:tc>
              <w:tc>
                <w:tcPr>
                  <w:tcW w:w="1182"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216.4</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120.5</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216.4</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bidi w:val="0"/>
                    <w:jc w:val="center"/>
                    <w:rPr>
                      <w:rFonts w:hint="default" w:ascii="Times New Roman" w:hAnsi="Times New Roman" w:eastAsia="宋体" w:cs="Times New Roman"/>
                      <w:color w:val="auto"/>
                      <w:sz w:val="21"/>
                      <w:szCs w:val="21"/>
                    </w:rPr>
                  </w:pPr>
                </w:p>
              </w:tc>
              <w:tc>
                <w:tcPr>
                  <w:tcW w:w="1917"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除尘灰</w:t>
                  </w:r>
                </w:p>
              </w:tc>
              <w:tc>
                <w:tcPr>
                  <w:tcW w:w="1182"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4.73</w:t>
                  </w:r>
                </w:p>
              </w:tc>
              <w:tc>
                <w:tcPr>
                  <w:tcW w:w="1182"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0.8</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4.73</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0.8</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noWrap w:val="0"/>
                  <w:vAlign w:val="center"/>
                </w:tcPr>
                <w:p>
                  <w:pPr>
                    <w:bidi w:val="0"/>
                    <w:jc w:val="center"/>
                    <w:rPr>
                      <w:rFonts w:hint="default" w:ascii="Times New Roman" w:hAnsi="Times New Roman" w:eastAsia="宋体" w:cs="Times New Roman"/>
                      <w:color w:val="auto"/>
                      <w:sz w:val="21"/>
                      <w:szCs w:val="21"/>
                    </w:rPr>
                  </w:pPr>
                </w:p>
              </w:tc>
              <w:tc>
                <w:tcPr>
                  <w:tcW w:w="1917"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脱硫废渣</w:t>
                  </w:r>
                </w:p>
              </w:tc>
              <w:tc>
                <w:tcPr>
                  <w:tcW w:w="1182"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9.08</w:t>
                  </w:r>
                </w:p>
              </w:tc>
              <w:tc>
                <w:tcPr>
                  <w:tcW w:w="1182"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4.39</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9.08</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4.39</w:t>
                  </w:r>
                </w:p>
              </w:tc>
              <w:tc>
                <w:tcPr>
                  <w:tcW w:w="1183" w:type="dxa"/>
                  <w:noWrap w:val="0"/>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tcPr>
                <w:p>
                  <w:pPr>
                    <w:bidi w:val="0"/>
                    <w:jc w:val="center"/>
                    <w:rPr>
                      <w:rFonts w:hint="default" w:ascii="Times New Roman" w:hAnsi="Times New Roman" w:eastAsia="宋体" w:cs="Times New Roman"/>
                      <w:color w:val="auto"/>
                      <w:sz w:val="21"/>
                      <w:szCs w:val="21"/>
                    </w:rPr>
                  </w:pPr>
                </w:p>
              </w:tc>
              <w:tc>
                <w:tcPr>
                  <w:tcW w:w="1917" w:type="dxa"/>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废离子交换树脂</w:t>
                  </w:r>
                </w:p>
              </w:tc>
              <w:tc>
                <w:tcPr>
                  <w:tcW w:w="1182" w:type="dxa"/>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0.3</w:t>
                  </w:r>
                </w:p>
              </w:tc>
              <w:tc>
                <w:tcPr>
                  <w:tcW w:w="1182" w:type="dxa"/>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c>
                <w:tcPr>
                  <w:tcW w:w="1183" w:type="dxa"/>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c>
                <w:tcPr>
                  <w:tcW w:w="1183" w:type="dxa"/>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0.3</w:t>
                  </w:r>
                </w:p>
              </w:tc>
              <w:tc>
                <w:tcPr>
                  <w:tcW w:w="1183" w:type="dxa"/>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vMerge w:val="continue"/>
                </w:tcPr>
                <w:p>
                  <w:pPr>
                    <w:bidi w:val="0"/>
                    <w:jc w:val="center"/>
                    <w:rPr>
                      <w:rFonts w:hint="default" w:ascii="Times New Roman" w:hAnsi="Times New Roman" w:eastAsia="宋体" w:cs="Times New Roman"/>
                      <w:color w:val="auto"/>
                      <w:sz w:val="21"/>
                      <w:szCs w:val="21"/>
                    </w:rPr>
                  </w:pPr>
                </w:p>
              </w:tc>
              <w:tc>
                <w:tcPr>
                  <w:tcW w:w="1917" w:type="dxa"/>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生活垃圾</w:t>
                  </w:r>
                </w:p>
              </w:tc>
              <w:tc>
                <w:tcPr>
                  <w:tcW w:w="1182" w:type="dxa"/>
                  <w:vAlign w:val="center"/>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0.45</w:t>
                  </w:r>
                </w:p>
              </w:tc>
              <w:tc>
                <w:tcPr>
                  <w:tcW w:w="1182" w:type="dxa"/>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c>
                <w:tcPr>
                  <w:tcW w:w="1183" w:type="dxa"/>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c>
                <w:tcPr>
                  <w:tcW w:w="1183" w:type="dxa"/>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0.45</w:t>
                  </w:r>
                </w:p>
              </w:tc>
              <w:tc>
                <w:tcPr>
                  <w:tcW w:w="1183" w:type="dxa"/>
                </w:tcPr>
                <w:p>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p>
              </w:tc>
            </w:tr>
          </w:tbl>
          <w:p>
            <w:pPr>
              <w:pStyle w:val="10"/>
              <w:adjustRightInd w:val="0"/>
              <w:spacing w:line="360" w:lineRule="auto"/>
              <w:ind w:firstLine="482"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5、地下水环境、土壤环境影响分析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szCs w:val="32"/>
                <w:highlight w:val="none"/>
              </w:rPr>
              <w:t>灰渣间</w:t>
            </w:r>
            <w:r>
              <w:rPr>
                <w:rFonts w:hint="default" w:ascii="Times New Roman" w:hAnsi="Times New Roman" w:eastAsia="宋体" w:cs="Times New Roman"/>
                <w:color w:val="auto"/>
                <w:sz w:val="24"/>
                <w:highlight w:val="none"/>
              </w:rPr>
              <w:t>的防渗系数小于1×10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cm/s，采用混凝土铺设，达到防渗的目的；</w:t>
            </w:r>
            <w:r>
              <w:rPr>
                <w:rFonts w:hint="default" w:ascii="Times New Roman" w:hAnsi="Times New Roman" w:eastAsia="宋体" w:cs="Times New Roman"/>
                <w:color w:val="auto"/>
                <w:sz w:val="24"/>
                <w:szCs w:val="32"/>
                <w:highlight w:val="none"/>
                <w:lang w:eastAsia="zh-CN"/>
              </w:rPr>
              <w:t>燃料库</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lang w:eastAsia="zh-CN"/>
              </w:rPr>
              <w:t>锅炉房</w:t>
            </w:r>
            <w:r>
              <w:rPr>
                <w:rFonts w:hint="default" w:ascii="Times New Roman" w:hAnsi="Times New Roman" w:eastAsia="宋体" w:cs="Times New Roman"/>
                <w:color w:val="auto"/>
                <w:sz w:val="24"/>
                <w:highlight w:val="none"/>
              </w:rPr>
              <w:t>为简单防渗区。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通过采取严格有效的防渗措施，可以有效降低非正常工况发生的污染物泄露事故；在发生泄露情况下，采取有效的应急措施，可以污染物进入地下水、土壤环境的风险降到最低。</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6、环境风险评价</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6.1危险物质种类</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本项目涉及的有毒有害和易燃易爆等危险物质为</w:t>
            </w:r>
            <w:r>
              <w:rPr>
                <w:rFonts w:hint="default" w:ascii="Times New Roman" w:hAnsi="Times New Roman" w:eastAsia="宋体" w:cs="Times New Roman"/>
                <w:color w:val="auto"/>
                <w:sz w:val="24"/>
                <w:highlight w:val="none"/>
                <w:lang w:eastAsia="zh-CN"/>
              </w:rPr>
              <w:t>生物质</w:t>
            </w:r>
            <w:r>
              <w:rPr>
                <w:rFonts w:hint="default" w:ascii="Times New Roman" w:hAnsi="Times New Roman" w:eastAsia="宋体" w:cs="Times New Roman"/>
                <w:color w:val="auto"/>
                <w:sz w:val="24"/>
                <w:highlight w:val="none"/>
                <w:lang w:val="en-US" w:eastAsia="zh-CN"/>
              </w:rPr>
              <w:t>燃料</w:t>
            </w:r>
            <w:r>
              <w:rPr>
                <w:rFonts w:hint="default" w:ascii="Times New Roman" w:hAnsi="Times New Roman" w:eastAsia="宋体" w:cs="Times New Roman"/>
                <w:color w:val="auto"/>
                <w:sz w:val="24"/>
                <w:highlight w:val="none"/>
              </w:rPr>
              <w:t>，为易燃物质。</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6.2风险源分布情况</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生物质</w:t>
            </w:r>
            <w:r>
              <w:rPr>
                <w:rFonts w:hint="default" w:ascii="Times New Roman" w:hAnsi="Times New Roman" w:eastAsia="宋体" w:cs="Times New Roman"/>
                <w:color w:val="auto"/>
                <w:sz w:val="24"/>
                <w:highlight w:val="none"/>
              </w:rPr>
              <w:t>主要分布于</w:t>
            </w:r>
            <w:r>
              <w:rPr>
                <w:rFonts w:hint="default" w:ascii="Times New Roman" w:hAnsi="Times New Roman" w:eastAsia="宋体" w:cs="Times New Roman"/>
                <w:color w:val="auto"/>
                <w:sz w:val="24"/>
                <w:szCs w:val="32"/>
                <w:highlight w:val="none"/>
                <w:lang w:eastAsia="zh-CN"/>
              </w:rPr>
              <w:t>燃料库</w:t>
            </w:r>
            <w:r>
              <w:rPr>
                <w:rFonts w:hint="default" w:ascii="Times New Roman" w:hAnsi="Times New Roman" w:eastAsia="宋体" w:cs="Times New Roman"/>
                <w:color w:val="auto"/>
                <w:sz w:val="24"/>
                <w:highlight w:val="none"/>
              </w:rPr>
              <w:t>内。</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6.3可能影响途径</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生物质</w:t>
            </w:r>
            <w:r>
              <w:rPr>
                <w:rFonts w:hint="default" w:ascii="Times New Roman" w:hAnsi="Times New Roman" w:eastAsia="宋体" w:cs="Times New Roman"/>
                <w:color w:val="auto"/>
                <w:sz w:val="24"/>
                <w:highlight w:val="none"/>
              </w:rPr>
              <w:t>属于易燃物品，遇明火后发生火灾，产生的废气会影响周围大气环境。</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6.4环境风险防范措施</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1）储存、使用过程的风险控制措施</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32"/>
                <w:highlight w:val="none"/>
                <w:lang w:eastAsia="zh-CN"/>
              </w:rPr>
              <w:t>燃料库</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lang w:eastAsia="zh-CN"/>
              </w:rPr>
              <w:t>锅炉房</w:t>
            </w:r>
            <w:r>
              <w:rPr>
                <w:rFonts w:hint="default" w:ascii="Times New Roman" w:hAnsi="Times New Roman" w:eastAsia="宋体" w:cs="Times New Roman"/>
                <w:color w:val="auto"/>
                <w:sz w:val="24"/>
                <w:szCs w:val="32"/>
                <w:highlight w:val="none"/>
              </w:rPr>
              <w:t>、灰渣间</w:t>
            </w:r>
            <w:r>
              <w:rPr>
                <w:rFonts w:hint="default" w:ascii="Times New Roman" w:hAnsi="Times New Roman" w:eastAsia="宋体" w:cs="Times New Roman"/>
                <w:color w:val="auto"/>
                <w:sz w:val="24"/>
                <w:highlight w:val="none"/>
              </w:rPr>
              <w:t>严禁吸烟和使用明火，防止火源进入；设置明显标志；安全设施、消防器材齐备；</w:t>
            </w:r>
            <w:r>
              <w:rPr>
                <w:rFonts w:hint="default" w:ascii="Times New Roman" w:hAnsi="Times New Roman" w:eastAsia="宋体" w:cs="Times New Roman"/>
                <w:color w:val="auto"/>
                <w:sz w:val="24"/>
                <w:szCs w:val="32"/>
                <w:highlight w:val="none"/>
                <w:lang w:eastAsia="zh-CN"/>
              </w:rPr>
              <w:t>燃料库</w:t>
            </w:r>
            <w:r>
              <w:rPr>
                <w:rFonts w:hint="default" w:ascii="Times New Roman" w:hAnsi="Times New Roman" w:eastAsia="宋体" w:cs="Times New Roman"/>
                <w:color w:val="auto"/>
                <w:sz w:val="24"/>
                <w:highlight w:val="none"/>
              </w:rPr>
              <w:t>设置温度报警器；制定各种操作规范，加强监督管理，严格安全、环保检查制度，避免环境事件的发生。</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2）风险防范措施</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32"/>
                <w:highlight w:val="none"/>
                <w:lang w:eastAsia="zh-CN"/>
              </w:rPr>
              <w:t>燃料库</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lang w:eastAsia="zh-CN"/>
              </w:rPr>
              <w:t>锅炉房</w:t>
            </w:r>
            <w:r>
              <w:rPr>
                <w:rFonts w:hint="default" w:ascii="Times New Roman" w:hAnsi="Times New Roman" w:eastAsia="宋体" w:cs="Times New Roman"/>
                <w:color w:val="auto"/>
                <w:sz w:val="24"/>
                <w:szCs w:val="32"/>
                <w:highlight w:val="none"/>
              </w:rPr>
              <w:t>、灰渣间</w:t>
            </w:r>
            <w:r>
              <w:rPr>
                <w:rFonts w:hint="default" w:ascii="Times New Roman" w:hAnsi="Times New Roman" w:eastAsia="宋体" w:cs="Times New Roman"/>
                <w:color w:val="auto"/>
                <w:sz w:val="24"/>
                <w:highlight w:val="none"/>
              </w:rPr>
              <w:t>处设置灭火器等灭火设施；在强化安全、环保教育，提高安全、环保意识的同时，企业保证预警、监控设施到位。配备救护设备；危险作业增设监护人员并为其配备通讯、救援等设备；按照国家、地方和相关部门要求，编制突发环境事件应急预案；企业根据实际情况，不断充实和完善应急预案的各项措施，并定期组织演练。</w:t>
            </w:r>
          </w:p>
          <w:p>
            <w:pPr>
              <w:pStyle w:val="10"/>
              <w:adjustRightInd w:val="0"/>
              <w:spacing w:line="360" w:lineRule="auto"/>
              <w:ind w:firstLine="482"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
                <w:bCs/>
                <w:color w:val="auto"/>
                <w:highlight w:val="none"/>
              </w:rPr>
              <w:t>7、环境监测计划</w:t>
            </w:r>
          </w:p>
          <w:p>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根据《排污许可证申请与核发技术规范 锅炉》</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HJ953-2018）和《排污单位自行监测技术指南 火力发电及锅炉》</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HJ820-2017）要求，本项目污染源监测计划如下。</w:t>
            </w:r>
          </w:p>
          <w:p>
            <w:pPr>
              <w:adjustRightInd w:val="0"/>
              <w:snapToGrid w:val="0"/>
              <w:spacing w:line="360" w:lineRule="auto"/>
              <w:ind w:firstLine="482" w:firstLineChars="20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 xml:space="preserve">   污染源监测计划表</w:t>
            </w:r>
          </w:p>
          <w:tbl>
            <w:tblPr>
              <w:tblStyle w:val="22"/>
              <w:tblW w:w="82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6"/>
              <w:gridCol w:w="846"/>
              <w:gridCol w:w="1263"/>
              <w:gridCol w:w="971"/>
              <w:gridCol w:w="971"/>
              <w:gridCol w:w="33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50" w:type="dxa"/>
                  <w:tcBorders>
                    <w:left w:val="single" w:color="auto" w:sz="0" w:space="0"/>
                  </w:tcBorders>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850" w:type="dxa"/>
                  <w:gridSpan w:val="2"/>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w:t>
                  </w:r>
                </w:p>
              </w:tc>
              <w:tc>
                <w:tcPr>
                  <w:tcW w:w="976"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976"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监测频次</w:t>
                  </w:r>
                </w:p>
              </w:tc>
              <w:tc>
                <w:tcPr>
                  <w:tcW w:w="3397" w:type="dxa"/>
                  <w:tcBorders>
                    <w:right w:val="single" w:color="auto" w:sz="4" w:space="0"/>
                  </w:tcBorders>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47" w:hRule="atLeast"/>
                <w:jc w:val="center"/>
              </w:trPr>
              <w:tc>
                <w:tcPr>
                  <w:tcW w:w="850" w:type="dxa"/>
                  <w:vMerge w:val="restart"/>
                  <w:tcBorders>
                    <w:left w:val="single" w:color="auto" w:sz="4" w:space="0"/>
                  </w:tcBorders>
                  <w:tcMar>
                    <w:left w:w="0" w:type="dxa"/>
                    <w:right w:w="0" w:type="dxa"/>
                  </w:tcMar>
                  <w:vAlign w:val="center"/>
                </w:tcPr>
                <w:p>
                  <w:pPr>
                    <w:tabs>
                      <w:tab w:val="center" w:pos="4153"/>
                      <w:tab w:val="right" w:pos="8306"/>
                    </w:tabs>
                    <w:autoSpaceDE w:val="0"/>
                    <w:autoSpaceDN w:val="0"/>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850"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269"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7MW</w:t>
                  </w:r>
                  <w:r>
                    <w:rPr>
                      <w:rFonts w:hint="default" w:ascii="Times New Roman" w:hAnsi="Times New Roman" w:eastAsia="宋体" w:cs="Times New Roman"/>
                      <w:color w:val="auto"/>
                      <w:sz w:val="21"/>
                      <w:szCs w:val="21"/>
                      <w:highlight w:val="none"/>
                      <w:lang w:eastAsia="zh-CN"/>
                    </w:rPr>
                    <w:t>生物质热水锅炉配套的</w:t>
                  </w:r>
                  <w:r>
                    <w:rPr>
                      <w:rFonts w:hint="default" w:ascii="Times New Roman" w:hAnsi="Times New Roman" w:eastAsia="宋体" w:cs="Times New Roman"/>
                      <w:color w:val="auto"/>
                      <w:sz w:val="21"/>
                      <w:szCs w:val="21"/>
                      <w:highlight w:val="none"/>
                      <w:lang w:val="en-US" w:eastAsia="zh-CN"/>
                    </w:rPr>
                    <w:t>1根40m</w:t>
                  </w:r>
                  <w:r>
                    <w:rPr>
                      <w:rFonts w:hint="default" w:ascii="Times New Roman" w:hAnsi="Times New Roman" w:eastAsia="宋体" w:cs="Times New Roman"/>
                      <w:color w:val="auto"/>
                      <w:sz w:val="21"/>
                      <w:szCs w:val="21"/>
                      <w:highlight w:val="none"/>
                    </w:rPr>
                    <w:t>高排气筒</w:t>
                  </w:r>
                </w:p>
              </w:tc>
              <w:tc>
                <w:tcPr>
                  <w:tcW w:w="976"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、颗粒物、汞及其化合物、林格曼黑度</w:t>
                  </w:r>
                </w:p>
              </w:tc>
              <w:tc>
                <w:tcPr>
                  <w:tcW w:w="976"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1次/月</w:t>
                  </w:r>
                </w:p>
              </w:tc>
              <w:tc>
                <w:tcPr>
                  <w:tcW w:w="3397" w:type="dxa"/>
                  <w:tcBorders>
                    <w:right w:val="single" w:color="auto" w:sz="4" w:space="0"/>
                  </w:tcBorders>
                  <w:tcMar>
                    <w:left w:w="0" w:type="dxa"/>
                    <w:right w:w="0" w:type="dxa"/>
                  </w:tcMar>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《锅炉大气污染物排放标准》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GB13271-2014）表2新建锅炉大气污染物排放浓度限值中</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燃煤锅炉</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的排放浓度限值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4" w:hRule="atLeast"/>
                <w:jc w:val="center"/>
              </w:trPr>
              <w:tc>
                <w:tcPr>
                  <w:tcW w:w="850" w:type="dxa"/>
                  <w:vMerge w:val="continue"/>
                  <w:tcBorders>
                    <w:left w:val="single" w:color="auto" w:sz="4" w:space="0"/>
                  </w:tcBorders>
                  <w:tcMar>
                    <w:left w:w="0" w:type="dxa"/>
                    <w:right w:w="0" w:type="dxa"/>
                  </w:tcMar>
                  <w:vAlign w:val="center"/>
                </w:tcPr>
                <w:p>
                  <w:pPr>
                    <w:tabs>
                      <w:tab w:val="center" w:pos="4153"/>
                      <w:tab w:val="right" w:pos="8306"/>
                    </w:tabs>
                    <w:autoSpaceDE w:val="0"/>
                    <w:autoSpaceDN w:val="0"/>
                    <w:spacing w:line="240" w:lineRule="auto"/>
                    <w:ind w:firstLine="0"/>
                    <w:jc w:val="center"/>
                    <w:textAlignment w:val="bottom"/>
                    <w:rPr>
                      <w:rFonts w:hint="default" w:ascii="Times New Roman" w:hAnsi="Times New Roman" w:eastAsia="宋体" w:cs="Times New Roman"/>
                      <w:color w:val="auto"/>
                      <w:sz w:val="21"/>
                      <w:szCs w:val="21"/>
                      <w:highlight w:val="none"/>
                    </w:rPr>
                  </w:pPr>
                </w:p>
              </w:tc>
              <w:tc>
                <w:tcPr>
                  <w:tcW w:w="850"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269"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976"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976"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1次/季度</w:t>
                  </w:r>
                </w:p>
              </w:tc>
              <w:tc>
                <w:tcPr>
                  <w:tcW w:w="3397" w:type="dxa"/>
                  <w:tcBorders>
                    <w:right w:val="single" w:color="auto" w:sz="4" w:space="0"/>
                  </w:tcBorders>
                  <w:tcMar>
                    <w:left w:w="0" w:type="dxa"/>
                    <w:right w:w="0" w:type="dxa"/>
                  </w:tcMar>
                  <w:vAlign w:val="center"/>
                </w:tcPr>
                <w:p>
                  <w:pPr>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《大气污染物综合排放标准》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 GB16297-1996）表2新污染源大气污染物排放限值中“无组织排放监控浓度限值”1.0mg/m</w:t>
                  </w:r>
                  <w:r>
                    <w:rPr>
                      <w:rFonts w:hint="default" w:ascii="Times New Roman" w:hAnsi="Times New Roman" w:eastAsia="宋体" w:cs="Times New Roman"/>
                      <w:color w:val="auto"/>
                      <w:szCs w:val="21"/>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50" w:type="dxa"/>
                  <w:tcBorders>
                    <w:left w:val="single" w:color="auto" w:sz="4" w:space="0"/>
                  </w:tcBorders>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850" w:type="dxa"/>
                  <w:gridSpan w:val="2"/>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976"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976" w:type="dxa"/>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1次/季度</w:t>
                  </w:r>
                </w:p>
              </w:tc>
              <w:tc>
                <w:tcPr>
                  <w:tcW w:w="3397" w:type="dxa"/>
                  <w:tcBorders>
                    <w:right w:val="single" w:color="auto" w:sz="4" w:space="0"/>
                  </w:tcBorders>
                  <w:tcMar>
                    <w:left w:w="0" w:type="dxa"/>
                    <w:right w:w="0" w:type="dxa"/>
                  </w:tcMar>
                  <w:vAlign w:val="center"/>
                </w:tcPr>
                <w:p>
                  <w:pPr>
                    <w:tabs>
                      <w:tab w:val="center" w:pos="4153"/>
                      <w:tab w:val="right" w:pos="8306"/>
                    </w:tabs>
                    <w:autoSpaceDE w:val="0"/>
                    <w:autoSpaceDN w:val="0"/>
                    <w:snapToGrid/>
                    <w:spacing w:line="240" w:lineRule="auto"/>
                    <w:ind w:firstLine="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GB12348-2008）2类标准限值</w:t>
                  </w:r>
                </w:p>
              </w:tc>
            </w:tr>
          </w:tbl>
          <w:p>
            <w:pPr>
              <w:pStyle w:val="10"/>
              <w:adjustRightInd w:val="0"/>
              <w:spacing w:line="360" w:lineRule="auto"/>
              <w:ind w:firstLine="482" w:firstLineChars="200"/>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
                <w:bCs/>
                <w:color w:val="auto"/>
                <w:highlight w:val="none"/>
                <w:lang w:val="en-US" w:eastAsia="zh-CN"/>
              </w:rPr>
              <w:t>8</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eastAsia="zh-CN"/>
              </w:rPr>
              <w:t>环保投资和“三同时”验收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bCs/>
                <w:color w:val="auto"/>
                <w:sz w:val="24"/>
                <w:highlight w:val="none"/>
                <w:lang w:eastAsia="zh-CN"/>
              </w:rPr>
              <w:t>总投资</w:t>
            </w:r>
            <w:r>
              <w:rPr>
                <w:rFonts w:hint="default" w:ascii="Times New Roman" w:hAnsi="Times New Roman" w:eastAsia="宋体" w:cs="Times New Roman"/>
                <w:bCs/>
                <w:color w:val="auto"/>
                <w:sz w:val="24"/>
                <w:highlight w:val="none"/>
                <w:lang w:val="en-US" w:eastAsia="zh-CN"/>
              </w:rPr>
              <w:t>150</w:t>
            </w:r>
            <w:r>
              <w:rPr>
                <w:rFonts w:hint="default" w:ascii="Times New Roman" w:hAnsi="Times New Roman" w:eastAsia="宋体" w:cs="Times New Roman"/>
                <w:bCs/>
                <w:color w:val="auto"/>
                <w:sz w:val="24"/>
                <w:highlight w:val="none"/>
                <w:lang w:eastAsia="zh-CN"/>
              </w:rPr>
              <w:t>万元，</w:t>
            </w:r>
            <w:r>
              <w:rPr>
                <w:rFonts w:hint="default" w:ascii="Times New Roman" w:hAnsi="Times New Roman" w:eastAsia="宋体" w:cs="Times New Roman"/>
                <w:bCs/>
                <w:color w:val="auto"/>
                <w:sz w:val="24"/>
                <w:highlight w:val="none"/>
              </w:rPr>
              <w:t>环保</w:t>
            </w:r>
            <w:r>
              <w:rPr>
                <w:rFonts w:hint="default" w:ascii="Times New Roman" w:hAnsi="Times New Roman" w:eastAsia="宋体" w:cs="Times New Roman"/>
                <w:bCs/>
                <w:color w:val="auto"/>
                <w:sz w:val="24"/>
                <w:highlight w:val="none"/>
                <w:lang w:eastAsia="zh-CN"/>
              </w:rPr>
              <w:t>投资</w:t>
            </w:r>
            <w:r>
              <w:rPr>
                <w:rFonts w:hint="default" w:ascii="Times New Roman" w:hAnsi="Times New Roman" w:eastAsia="宋体" w:cs="Times New Roman"/>
                <w:bCs/>
                <w:color w:val="auto"/>
                <w:sz w:val="24"/>
                <w:highlight w:val="none"/>
              </w:rPr>
              <w:t>约</w:t>
            </w:r>
            <w:r>
              <w:rPr>
                <w:rFonts w:hint="default" w:ascii="Times New Roman" w:hAnsi="Times New Roman" w:eastAsia="宋体" w:cs="Times New Roman"/>
                <w:bCs/>
                <w:color w:val="auto"/>
                <w:sz w:val="24"/>
                <w:highlight w:val="none"/>
                <w:lang w:val="en-US" w:eastAsia="zh-CN"/>
              </w:rPr>
              <w:t>30.6</w:t>
            </w:r>
            <w:r>
              <w:rPr>
                <w:rFonts w:hint="default" w:ascii="Times New Roman" w:hAnsi="Times New Roman" w:eastAsia="宋体" w:cs="Times New Roman"/>
                <w:bCs/>
                <w:color w:val="auto"/>
                <w:sz w:val="24"/>
                <w:highlight w:val="none"/>
              </w:rPr>
              <w:t>万元，约占总投资额的</w:t>
            </w:r>
            <w:r>
              <w:rPr>
                <w:rFonts w:hint="default" w:ascii="Times New Roman" w:hAnsi="Times New Roman" w:eastAsia="宋体" w:cs="Times New Roman"/>
                <w:bCs/>
                <w:color w:val="auto"/>
                <w:sz w:val="24"/>
                <w:highlight w:val="none"/>
                <w:lang w:val="en-US" w:eastAsia="zh-CN"/>
              </w:rPr>
              <w:t>20.41</w:t>
            </w:r>
            <w:r>
              <w:rPr>
                <w:rFonts w:hint="default" w:ascii="Times New Roman" w:hAnsi="Times New Roman" w:eastAsia="宋体" w:cs="Times New Roman"/>
                <w:bCs/>
                <w:color w:val="auto"/>
                <w:sz w:val="24"/>
                <w:highlight w:val="none"/>
              </w:rPr>
              <w:t>%，具体环保</w:t>
            </w:r>
            <w:r>
              <w:rPr>
                <w:rFonts w:hint="default" w:ascii="Times New Roman" w:hAnsi="Times New Roman" w:eastAsia="宋体" w:cs="Times New Roman"/>
                <w:bCs/>
                <w:color w:val="auto"/>
                <w:sz w:val="24"/>
                <w:highlight w:val="none"/>
                <w:lang w:eastAsia="zh-CN"/>
              </w:rPr>
              <w:t>投资</w:t>
            </w:r>
            <w:r>
              <w:rPr>
                <w:rFonts w:hint="default" w:ascii="Times New Roman" w:hAnsi="Times New Roman" w:eastAsia="宋体" w:cs="Times New Roman"/>
                <w:bCs/>
                <w:color w:val="auto"/>
                <w:sz w:val="24"/>
                <w:highlight w:val="none"/>
              </w:rPr>
              <w:t>估算见表</w:t>
            </w:r>
            <w:r>
              <w:rPr>
                <w:rFonts w:hint="default" w:ascii="Times New Roman" w:hAnsi="Times New Roman" w:eastAsia="宋体" w:cs="Times New Roman"/>
                <w:bCs/>
                <w:color w:val="auto"/>
                <w:sz w:val="24"/>
                <w:highlight w:val="none"/>
                <w:lang w:val="en-US" w:eastAsia="zh-CN"/>
              </w:rPr>
              <w:t>4-9，“三同时”验收一览表见表4-10</w:t>
            </w:r>
            <w:r>
              <w:rPr>
                <w:rFonts w:hint="default" w:ascii="Times New Roman" w:hAnsi="Times New Roman" w:eastAsia="宋体" w:cs="Times New Roman"/>
                <w:bCs/>
                <w:color w:val="auto"/>
                <w:sz w:val="24"/>
                <w:highlight w:val="none"/>
              </w:rPr>
              <w:t>。</w:t>
            </w:r>
          </w:p>
          <w:p>
            <w:pPr>
              <w:keepNext w:val="0"/>
              <w:keepLines w:val="0"/>
              <w:suppressLineNumbers w:val="0"/>
              <w:snapToGrid w:val="0"/>
              <w:spacing w:before="0" w:beforeAutospacing="0" w:after="0" w:afterAutospacing="0" w:line="360" w:lineRule="auto"/>
              <w:ind w:left="0" w:right="0" w:firstLine="482" w:firstLineChars="200"/>
              <w:jc w:val="center"/>
              <w:rPr>
                <w:rFonts w:hint="default" w:ascii="Times New Roman" w:hAnsi="Times New Roman" w:eastAsia="宋体" w:cs="Times New Roman"/>
                <w:b/>
                <w:color w:val="auto"/>
                <w:spacing w:val="6"/>
                <w:sz w:val="24"/>
                <w:highlight w:val="none"/>
              </w:rPr>
            </w:pPr>
            <w:r>
              <w:rPr>
                <w:rFonts w:hint="default"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lang w:val="en-US" w:eastAsia="zh-CN"/>
              </w:rPr>
              <w:t>4-9</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pacing w:val="6"/>
                <w:sz w:val="24"/>
                <w:highlight w:val="none"/>
              </w:rPr>
              <w:t>建设项目环境保护投资一览表</w:t>
            </w:r>
          </w:p>
          <w:tbl>
            <w:tblPr>
              <w:tblStyle w:val="22"/>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791"/>
              <w:gridCol w:w="3643"/>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79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项目名称及内容</w:t>
                  </w:r>
                </w:p>
              </w:tc>
              <w:tc>
                <w:tcPr>
                  <w:tcW w:w="36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处理方法</w:t>
                  </w:r>
                </w:p>
              </w:tc>
              <w:tc>
                <w:tcPr>
                  <w:tcW w:w="20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投资估算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1791"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36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多管旋风除尘器</w:t>
                  </w:r>
                </w:p>
              </w:tc>
              <w:tc>
                <w:tcPr>
                  <w:tcW w:w="20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79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20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79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4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钠碱法脱硫塔</w:t>
                  </w:r>
                </w:p>
              </w:tc>
              <w:tc>
                <w:tcPr>
                  <w:tcW w:w="207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79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排气筒</w:t>
                  </w:r>
                </w:p>
              </w:tc>
              <w:tc>
                <w:tcPr>
                  <w:tcW w:w="20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79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燃料库扩建</w:t>
                  </w:r>
                </w:p>
              </w:tc>
              <w:tc>
                <w:tcPr>
                  <w:tcW w:w="20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179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36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采取减振垫、隔声措施</w:t>
                  </w:r>
                </w:p>
              </w:tc>
              <w:tc>
                <w:tcPr>
                  <w:tcW w:w="20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79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防渗处理</w:t>
                  </w:r>
                </w:p>
              </w:tc>
              <w:tc>
                <w:tcPr>
                  <w:tcW w:w="364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灰渣间扩建</w:t>
                  </w:r>
                </w:p>
              </w:tc>
              <w:tc>
                <w:tcPr>
                  <w:tcW w:w="207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7"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20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30.6</w:t>
                  </w:r>
                </w:p>
              </w:tc>
            </w:tr>
          </w:tbl>
          <w:p>
            <w:pPr>
              <w:adjustRightInd w:val="0"/>
              <w:snapToGrid w:val="0"/>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default" w:ascii="Times New Roman" w:hAnsi="Times New Roman" w:eastAsia="宋体" w:cs="Times New Roman"/>
                <w:b/>
                <w:bCs/>
                <w:color w:val="auto"/>
                <w:sz w:val="24"/>
                <w:highlight w:val="none"/>
                <w:lang w:val="en-US" w:eastAsia="zh-CN"/>
              </w:rPr>
              <w:t>10</w:t>
            </w:r>
            <w:r>
              <w:rPr>
                <w:rFonts w:hint="default" w:ascii="Times New Roman" w:hAnsi="Times New Roman" w:eastAsia="宋体" w:cs="Times New Roman"/>
                <w:b/>
                <w:bCs/>
                <w:color w:val="auto"/>
                <w:sz w:val="24"/>
                <w:highlight w:val="none"/>
              </w:rPr>
              <w:t xml:space="preserve">   环境保护“三同时”验收一览表</w:t>
            </w:r>
          </w:p>
          <w:tbl>
            <w:tblPr>
              <w:tblStyle w:val="22"/>
              <w:tblW w:w="82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081"/>
              <w:gridCol w:w="728"/>
              <w:gridCol w:w="1062"/>
              <w:gridCol w:w="1062"/>
              <w:gridCol w:w="1063"/>
              <w:gridCol w:w="896"/>
              <w:gridCol w:w="16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left w:val="single" w:color="auto" w:sz="0" w:space="0"/>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治理项目</w:t>
                  </w:r>
                </w:p>
              </w:tc>
              <w:tc>
                <w:tcPr>
                  <w:tcW w:w="1809" w:type="dxa"/>
                  <w:gridSpan w:val="2"/>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1062" w:type="dxa"/>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环保设施名称</w:t>
                  </w:r>
                </w:p>
              </w:tc>
              <w:tc>
                <w:tcPr>
                  <w:tcW w:w="1062" w:type="dxa"/>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063" w:type="dxa"/>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896" w:type="dxa"/>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验收监测因子</w:t>
                  </w:r>
                </w:p>
              </w:tc>
              <w:tc>
                <w:tcPr>
                  <w:tcW w:w="1684" w:type="dxa"/>
                  <w:tcBorders>
                    <w:right w:val="single" w:color="auto" w:sz="4" w:space="0"/>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验收标准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1" w:type="dxa"/>
                  <w:vMerge w:val="restart"/>
                  <w:tcBorders>
                    <w:lef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809" w:type="dxa"/>
                  <w:gridSpan w:val="2"/>
                  <w:vMerge w:val="restart"/>
                  <w:vAlign w:val="center"/>
                </w:tcPr>
                <w:p>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7MW</w:t>
                  </w:r>
                  <w:r>
                    <w:rPr>
                      <w:rFonts w:hint="default" w:ascii="Times New Roman" w:hAnsi="Times New Roman" w:eastAsia="宋体" w:cs="Times New Roman"/>
                      <w:color w:val="auto"/>
                      <w:sz w:val="21"/>
                      <w:szCs w:val="21"/>
                      <w:highlight w:val="none"/>
                      <w:lang w:eastAsia="zh-CN"/>
                    </w:rPr>
                    <w:t>生物质热水锅炉</w:t>
                  </w:r>
                </w:p>
              </w:tc>
              <w:tc>
                <w:tcPr>
                  <w:tcW w:w="1062"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1台多管旋风除尘器</w:t>
                  </w:r>
                </w:p>
              </w:tc>
              <w:tc>
                <w:tcPr>
                  <w:tcW w:w="1062"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40m</w:t>
                  </w:r>
                  <w:r>
                    <w:rPr>
                      <w:rFonts w:hint="default" w:ascii="Times New Roman" w:hAnsi="Times New Roman" w:eastAsia="宋体" w:cs="Times New Roman"/>
                      <w:color w:val="auto"/>
                      <w:sz w:val="21"/>
                      <w:szCs w:val="21"/>
                      <w:highlight w:val="none"/>
                    </w:rPr>
                    <w:t>高的排气筒进口、出口</w:t>
                  </w:r>
                </w:p>
              </w:tc>
              <w:tc>
                <w:tcPr>
                  <w:tcW w:w="1063"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3次/d，共监测2天</w:t>
                  </w:r>
                </w:p>
              </w:tc>
              <w:tc>
                <w:tcPr>
                  <w:tcW w:w="896"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、颗粒物、汞及其化合物、林格曼黑度</w:t>
                  </w:r>
                </w:p>
              </w:tc>
              <w:tc>
                <w:tcPr>
                  <w:tcW w:w="1684" w:type="dxa"/>
                  <w:vMerge w:val="restart"/>
                  <w:tcBorders>
                    <w:righ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《锅炉大气污染物排放标准》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GB13271-2014）表2新建锅炉大气污染物排放浓度限值中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燃煤锅炉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的排放浓度限值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22"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rPr>
                  </w:pPr>
                </w:p>
              </w:tc>
              <w:tc>
                <w:tcPr>
                  <w:tcW w:w="1809" w:type="dxa"/>
                  <w:gridSpan w:val="2"/>
                  <w:vMerge w:val="continue"/>
                  <w:vAlign w:val="center"/>
                </w:tcPr>
                <w:p>
                  <w:pPr>
                    <w:jc w:val="center"/>
                    <w:rPr>
                      <w:rFonts w:hint="default" w:ascii="Times New Roman" w:hAnsi="Times New Roman" w:eastAsia="宋体" w:cs="Times New Roman"/>
                      <w:color w:val="auto"/>
                    </w:rPr>
                  </w:pPr>
                </w:p>
              </w:tc>
              <w:tc>
                <w:tcPr>
                  <w:tcW w:w="106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1台布袋除尘器</w:t>
                  </w:r>
                </w:p>
              </w:tc>
              <w:tc>
                <w:tcPr>
                  <w:tcW w:w="1062"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1063"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896"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1684" w:type="dxa"/>
                  <w:vMerge w:val="continue"/>
                  <w:tcBorders>
                    <w:right w:val="single" w:color="auto" w:sz="4" w:space="0"/>
                  </w:tcBorders>
                  <w:vAlign w:val="center"/>
                </w:tcPr>
                <w:p>
                  <w:pPr>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 w:val="21"/>
                      <w:szCs w:val="21"/>
                      <w:highlight w:val="none"/>
                      <w:lang w:eastAsia="zh-CN"/>
                    </w:rPr>
                  </w:pPr>
                </w:p>
              </w:tc>
              <w:tc>
                <w:tcPr>
                  <w:tcW w:w="1809" w:type="dxa"/>
                  <w:gridSpan w:val="2"/>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106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1台钠碱法脱硫塔</w:t>
                  </w:r>
                </w:p>
              </w:tc>
              <w:tc>
                <w:tcPr>
                  <w:tcW w:w="1062"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1063"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896"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1684" w:type="dxa"/>
                  <w:vMerge w:val="continue"/>
                  <w:tcBorders>
                    <w:right w:val="single" w:color="auto" w:sz="4" w:space="0"/>
                  </w:tcBorders>
                  <w:vAlign w:val="center"/>
                </w:tcPr>
                <w:p>
                  <w:pPr>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 w:val="21"/>
                      <w:szCs w:val="21"/>
                      <w:highlight w:val="none"/>
                      <w:lang w:eastAsia="zh-CN"/>
                    </w:rPr>
                  </w:pPr>
                </w:p>
              </w:tc>
              <w:tc>
                <w:tcPr>
                  <w:tcW w:w="1809" w:type="dxa"/>
                  <w:gridSpan w:val="2"/>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106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40m</w:t>
                  </w:r>
                  <w:r>
                    <w:rPr>
                      <w:rFonts w:hint="default" w:ascii="Times New Roman" w:hAnsi="Times New Roman" w:eastAsia="宋体" w:cs="Times New Roman"/>
                      <w:color w:val="auto"/>
                      <w:sz w:val="21"/>
                      <w:szCs w:val="21"/>
                      <w:highlight w:val="none"/>
                    </w:rPr>
                    <w:t>高排气筒</w:t>
                  </w:r>
                </w:p>
              </w:tc>
              <w:tc>
                <w:tcPr>
                  <w:tcW w:w="1062"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1063"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896" w:type="dxa"/>
                  <w:vMerge w:val="continue"/>
                  <w:vAlign w:val="center"/>
                </w:tcPr>
                <w:p>
                  <w:pPr>
                    <w:jc w:val="center"/>
                    <w:rPr>
                      <w:rFonts w:hint="default" w:ascii="Times New Roman" w:hAnsi="Times New Roman" w:eastAsia="宋体" w:cs="Times New Roman"/>
                      <w:color w:val="auto"/>
                      <w:sz w:val="21"/>
                      <w:szCs w:val="21"/>
                      <w:highlight w:val="none"/>
                      <w:lang w:eastAsia="zh-CN"/>
                    </w:rPr>
                  </w:pPr>
                </w:p>
              </w:tc>
              <w:tc>
                <w:tcPr>
                  <w:tcW w:w="1684" w:type="dxa"/>
                  <w:vMerge w:val="continue"/>
                  <w:tcBorders>
                    <w:right w:val="single" w:color="auto" w:sz="4" w:space="0"/>
                  </w:tcBorders>
                  <w:vAlign w:val="center"/>
                </w:tcPr>
                <w:p>
                  <w:pPr>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 w:val="21"/>
                      <w:szCs w:val="21"/>
                      <w:highlight w:val="none"/>
                    </w:rPr>
                  </w:pPr>
                </w:p>
              </w:tc>
              <w:tc>
                <w:tcPr>
                  <w:tcW w:w="1809" w:type="dxa"/>
                  <w:gridSpan w:val="2"/>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厂界</w:t>
                  </w:r>
                </w:p>
              </w:tc>
              <w:tc>
                <w:tcPr>
                  <w:tcW w:w="1062"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洒水降尘、全封闭</w:t>
                  </w:r>
                  <w:r>
                    <w:rPr>
                      <w:rFonts w:hint="default" w:ascii="Times New Roman" w:hAnsi="Times New Roman" w:eastAsia="宋体" w:cs="Times New Roman"/>
                      <w:color w:val="auto"/>
                      <w:sz w:val="21"/>
                      <w:szCs w:val="21"/>
                      <w:highlight w:val="none"/>
                      <w:lang w:val="en-US" w:eastAsia="zh-CN"/>
                    </w:rPr>
                    <w:t>灰渣间</w:t>
                  </w:r>
                </w:p>
              </w:tc>
              <w:tc>
                <w:tcPr>
                  <w:tcW w:w="106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厂界上风向1个点位、下风向3个点位</w:t>
                  </w:r>
                </w:p>
              </w:tc>
              <w:tc>
                <w:tcPr>
                  <w:tcW w:w="106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4次/d，共监测2天</w:t>
                  </w:r>
                </w:p>
              </w:tc>
              <w:tc>
                <w:tcPr>
                  <w:tcW w:w="896"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684" w:type="dxa"/>
                  <w:tcBorders>
                    <w:right w:val="single" w:color="auto" w:sz="4" w:space="0"/>
                  </w:tcBorders>
                  <w:vAlign w:val="center"/>
                </w:tcPr>
                <w:p>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GB16297-1996）表2新污染源大气污染物排放限值中“无组织排放监控浓度限值”1.0mg/m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tcBorders>
                    <w:left w:val="single" w:color="auto"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1809" w:type="dxa"/>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软水制备废水</w:t>
                  </w:r>
                </w:p>
              </w:tc>
              <w:tc>
                <w:tcPr>
                  <w:tcW w:w="1062" w:type="dxa"/>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用于灰渣库抑尘、出渣机补水、空地降尘洒水</w:t>
                  </w:r>
                </w:p>
              </w:tc>
              <w:tc>
                <w:tcPr>
                  <w:tcW w:w="1062" w:type="dxa"/>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63" w:type="dxa"/>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96" w:type="dxa"/>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684" w:type="dxa"/>
                  <w:vMerge w:val="restart"/>
                  <w:tcBorders>
                    <w:right w:val="single" w:color="auto"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Cs w:val="21"/>
                      <w:highlight w:val="none"/>
                    </w:rPr>
                  </w:pPr>
                </w:p>
              </w:tc>
              <w:tc>
                <w:tcPr>
                  <w:tcW w:w="1809" w:type="dxa"/>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锅炉排污水</w:t>
                  </w:r>
                </w:p>
              </w:tc>
              <w:tc>
                <w:tcPr>
                  <w:tcW w:w="1062" w:type="dxa"/>
                  <w:vMerge w:val="continue"/>
                  <w:vAlign w:val="center"/>
                </w:tcPr>
                <w:p>
                  <w:pPr>
                    <w:jc w:val="center"/>
                    <w:rPr>
                      <w:rFonts w:hint="default" w:ascii="Times New Roman" w:hAnsi="Times New Roman" w:eastAsia="宋体" w:cs="Times New Roman"/>
                      <w:color w:val="auto"/>
                      <w:szCs w:val="21"/>
                      <w:highlight w:val="none"/>
                    </w:rPr>
                  </w:pPr>
                </w:p>
              </w:tc>
              <w:tc>
                <w:tcPr>
                  <w:tcW w:w="1062" w:type="dxa"/>
                  <w:vMerge w:val="continue"/>
                  <w:vAlign w:val="center"/>
                </w:tcPr>
                <w:p>
                  <w:pPr>
                    <w:jc w:val="center"/>
                    <w:rPr>
                      <w:rFonts w:hint="default" w:ascii="Times New Roman" w:hAnsi="Times New Roman" w:eastAsia="宋体" w:cs="Times New Roman"/>
                      <w:color w:val="auto"/>
                      <w:szCs w:val="21"/>
                      <w:highlight w:val="none"/>
                    </w:rPr>
                  </w:pPr>
                </w:p>
              </w:tc>
              <w:tc>
                <w:tcPr>
                  <w:tcW w:w="1063" w:type="dxa"/>
                  <w:vMerge w:val="continue"/>
                  <w:vAlign w:val="center"/>
                </w:tcPr>
                <w:p>
                  <w:pPr>
                    <w:jc w:val="center"/>
                    <w:rPr>
                      <w:rFonts w:hint="default" w:ascii="Times New Roman" w:hAnsi="Times New Roman" w:eastAsia="宋体" w:cs="Times New Roman"/>
                      <w:color w:val="auto"/>
                      <w:szCs w:val="21"/>
                      <w:highlight w:val="none"/>
                    </w:rPr>
                  </w:pPr>
                </w:p>
              </w:tc>
              <w:tc>
                <w:tcPr>
                  <w:tcW w:w="896" w:type="dxa"/>
                  <w:vMerge w:val="continue"/>
                  <w:vAlign w:val="center"/>
                </w:tcPr>
                <w:p>
                  <w:pPr>
                    <w:jc w:val="center"/>
                    <w:rPr>
                      <w:rFonts w:hint="default" w:ascii="Times New Roman" w:hAnsi="Times New Roman" w:eastAsia="宋体" w:cs="Times New Roman"/>
                      <w:color w:val="auto"/>
                      <w:szCs w:val="21"/>
                      <w:highlight w:val="none"/>
                    </w:rPr>
                  </w:pPr>
                </w:p>
              </w:tc>
              <w:tc>
                <w:tcPr>
                  <w:tcW w:w="1684" w:type="dxa"/>
                  <w:vMerge w:val="continue"/>
                  <w:tcBorders>
                    <w:right w:val="single" w:color="auto" w:sz="4" w:space="0"/>
                  </w:tcBorders>
                  <w:vAlign w:val="center"/>
                </w:tcPr>
                <w:p>
                  <w:pPr>
                    <w:jc w:val="center"/>
                    <w:rPr>
                      <w:rFonts w:hint="default" w:ascii="Times New Roman" w:hAnsi="Times New Roman" w:eastAsia="宋体" w:cs="Times New Roman"/>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Cs w:val="21"/>
                      <w:highlight w:val="none"/>
                    </w:rPr>
                  </w:pPr>
                </w:p>
              </w:tc>
              <w:tc>
                <w:tcPr>
                  <w:tcW w:w="1809" w:type="dxa"/>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出渣机废水</w:t>
                  </w:r>
                </w:p>
              </w:tc>
              <w:tc>
                <w:tcPr>
                  <w:tcW w:w="106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循环使用</w:t>
                  </w:r>
                </w:p>
              </w:tc>
              <w:tc>
                <w:tcPr>
                  <w:tcW w:w="106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6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96"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684" w:type="dxa"/>
                  <w:tcBorders>
                    <w:right w:val="single" w:color="auto"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Cs w:val="21"/>
                      <w:highlight w:val="none"/>
                    </w:rPr>
                  </w:pPr>
                </w:p>
              </w:tc>
              <w:tc>
                <w:tcPr>
                  <w:tcW w:w="1809" w:type="dxa"/>
                  <w:gridSpan w:val="2"/>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eastAsia="zh-CN"/>
                    </w:rPr>
                    <w:t>灰渣间抑尘用水</w:t>
                  </w:r>
                </w:p>
              </w:tc>
              <w:tc>
                <w:tcPr>
                  <w:tcW w:w="106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自然蒸发</w:t>
                  </w:r>
                </w:p>
              </w:tc>
              <w:tc>
                <w:tcPr>
                  <w:tcW w:w="106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1063"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89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1684" w:type="dxa"/>
                  <w:tcBorders>
                    <w:right w:val="single" w:color="auto" w:sz="4" w:space="0"/>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无废水产生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Cs w:val="21"/>
                      <w:highlight w:val="none"/>
                    </w:rPr>
                  </w:pPr>
                </w:p>
              </w:tc>
              <w:tc>
                <w:tcPr>
                  <w:tcW w:w="1809" w:type="dxa"/>
                  <w:gridSpan w:val="2"/>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钠碱法脱硫塔废水</w:t>
                  </w:r>
                </w:p>
              </w:tc>
              <w:tc>
                <w:tcPr>
                  <w:tcW w:w="106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循环使用</w:t>
                  </w:r>
                </w:p>
              </w:tc>
              <w:tc>
                <w:tcPr>
                  <w:tcW w:w="1062"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1063"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89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1684" w:type="dxa"/>
                  <w:tcBorders>
                    <w:right w:val="single" w:color="auto" w:sz="4" w:space="0"/>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Cs w:val="21"/>
                      <w:highlight w:val="none"/>
                    </w:rPr>
                  </w:pPr>
                </w:p>
              </w:tc>
              <w:tc>
                <w:tcPr>
                  <w:tcW w:w="1809" w:type="dxa"/>
                  <w:gridSpan w:val="2"/>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生活污水</w:t>
                  </w:r>
                </w:p>
              </w:tc>
              <w:tc>
                <w:tcPr>
                  <w:tcW w:w="1062" w:type="dxa"/>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化粪池</w:t>
                  </w:r>
                </w:p>
              </w:tc>
              <w:tc>
                <w:tcPr>
                  <w:tcW w:w="1062" w:type="dxa"/>
                  <w:vAlign w:val="center"/>
                </w:tcPr>
                <w:p>
                  <w:pPr>
                    <w:jc w:val="center"/>
                    <w:rPr>
                      <w:rFonts w:hint="default" w:ascii="Times New Roman" w:hAnsi="Times New Roman" w:eastAsia="宋体" w:cs="Times New Roman"/>
                      <w:color w:val="auto"/>
                      <w:szCs w:val="21"/>
                      <w:highlight w:val="none"/>
                    </w:rPr>
                  </w:pPr>
                </w:p>
              </w:tc>
              <w:tc>
                <w:tcPr>
                  <w:tcW w:w="1063" w:type="dxa"/>
                  <w:vAlign w:val="center"/>
                </w:tcPr>
                <w:p>
                  <w:pPr>
                    <w:jc w:val="center"/>
                    <w:rPr>
                      <w:rFonts w:hint="default" w:ascii="Times New Roman" w:hAnsi="Times New Roman" w:eastAsia="宋体" w:cs="Times New Roman"/>
                      <w:color w:val="auto"/>
                      <w:szCs w:val="21"/>
                      <w:highlight w:val="none"/>
                    </w:rPr>
                  </w:pPr>
                </w:p>
              </w:tc>
              <w:tc>
                <w:tcPr>
                  <w:tcW w:w="896" w:type="dxa"/>
                  <w:vAlign w:val="center"/>
                </w:tcPr>
                <w:p>
                  <w:pPr>
                    <w:jc w:val="center"/>
                    <w:rPr>
                      <w:rFonts w:hint="default" w:ascii="Times New Roman" w:hAnsi="Times New Roman" w:eastAsia="宋体" w:cs="Times New Roman"/>
                      <w:color w:val="auto"/>
                      <w:szCs w:val="21"/>
                      <w:highlight w:val="none"/>
                    </w:rPr>
                  </w:pPr>
                </w:p>
              </w:tc>
              <w:tc>
                <w:tcPr>
                  <w:tcW w:w="1684" w:type="dxa"/>
                  <w:tcBorders>
                    <w:right w:val="single" w:color="auto" w:sz="4" w:space="0"/>
                  </w:tcBorders>
                  <w:vAlign w:val="center"/>
                </w:tcPr>
                <w:p>
                  <w:pPr>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定期清运至乌拉特前旗污水处理厂处理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lef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809" w:type="dxa"/>
                  <w:gridSpan w:val="2"/>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106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隔声、减震</w:t>
                  </w:r>
                </w:p>
              </w:tc>
              <w:tc>
                <w:tcPr>
                  <w:tcW w:w="106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w:t>
                  </w:r>
                </w:p>
              </w:tc>
              <w:tc>
                <w:tcPr>
                  <w:tcW w:w="106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昼夜各2次，共监测2天</w:t>
                  </w:r>
                </w:p>
              </w:tc>
              <w:tc>
                <w:tcPr>
                  <w:tcW w:w="896"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684" w:type="dxa"/>
                  <w:tcBorders>
                    <w:righ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GB12348-2008）中2类标准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tcBorders>
                    <w:lef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081"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生物质热水锅炉</w:t>
                  </w:r>
                </w:p>
              </w:tc>
              <w:tc>
                <w:tcPr>
                  <w:tcW w:w="72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炉渣</w:t>
                  </w:r>
                </w:p>
              </w:tc>
              <w:tc>
                <w:tcPr>
                  <w:tcW w:w="1062"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全封闭灰渣间</w:t>
                  </w:r>
                </w:p>
              </w:tc>
              <w:tc>
                <w:tcPr>
                  <w:tcW w:w="106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6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96"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84" w:type="dxa"/>
                  <w:vMerge w:val="restart"/>
                  <w:tcBorders>
                    <w:righ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《一般工业固体废物贮存和填埋污染控制标准》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 18599-2020）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 w:val="21"/>
                      <w:szCs w:val="21"/>
                      <w:highlight w:val="none"/>
                    </w:rPr>
                  </w:pPr>
                </w:p>
              </w:tc>
              <w:tc>
                <w:tcPr>
                  <w:tcW w:w="1081"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1台多管旋风除尘器、1台布袋除尘器和</w:t>
                  </w:r>
                  <w:r>
                    <w:rPr>
                      <w:rFonts w:hint="default" w:ascii="Times New Roman" w:hAnsi="Times New Roman" w:eastAsia="宋体" w:cs="Times New Roman"/>
                      <w:color w:val="auto"/>
                      <w:sz w:val="21"/>
                      <w:szCs w:val="21"/>
                      <w:highlight w:val="none"/>
                    </w:rPr>
                    <w:t>1台</w:t>
                  </w:r>
                  <w:r>
                    <w:rPr>
                      <w:rFonts w:hint="default" w:ascii="Times New Roman" w:hAnsi="Times New Roman" w:eastAsia="宋体" w:cs="Times New Roman"/>
                      <w:color w:val="auto"/>
                      <w:sz w:val="21"/>
                      <w:szCs w:val="21"/>
                      <w:highlight w:val="none"/>
                      <w:lang w:val="en-US" w:eastAsia="zh-CN"/>
                    </w:rPr>
                    <w:t>钠碱法脱硫塔</w:t>
                  </w:r>
                </w:p>
              </w:tc>
              <w:tc>
                <w:tcPr>
                  <w:tcW w:w="72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除尘灰</w:t>
                  </w:r>
                </w:p>
              </w:tc>
              <w:tc>
                <w:tcPr>
                  <w:tcW w:w="1062" w:type="dxa"/>
                  <w:vMerge w:val="continue"/>
                  <w:vAlign w:val="center"/>
                </w:tcPr>
                <w:p>
                  <w:pPr>
                    <w:jc w:val="center"/>
                    <w:rPr>
                      <w:rFonts w:hint="default" w:ascii="Times New Roman" w:hAnsi="Times New Roman" w:eastAsia="宋体" w:cs="Times New Roman"/>
                      <w:color w:val="auto"/>
                      <w:sz w:val="21"/>
                      <w:szCs w:val="21"/>
                      <w:highlight w:val="none"/>
                    </w:rPr>
                  </w:pPr>
                </w:p>
              </w:tc>
              <w:tc>
                <w:tcPr>
                  <w:tcW w:w="106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6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96"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84" w:type="dxa"/>
                  <w:vMerge w:val="continue"/>
                  <w:tcBorders>
                    <w:right w:val="single" w:color="auto" w:sz="4" w:space="0"/>
                  </w:tcBorders>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 w:val="21"/>
                      <w:szCs w:val="21"/>
                      <w:highlight w:val="none"/>
                    </w:rPr>
                  </w:pPr>
                </w:p>
              </w:tc>
              <w:tc>
                <w:tcPr>
                  <w:tcW w:w="1081"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软水制备装置</w:t>
                  </w:r>
                </w:p>
              </w:tc>
              <w:tc>
                <w:tcPr>
                  <w:tcW w:w="72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废饱和树脂</w:t>
                  </w:r>
                </w:p>
              </w:tc>
              <w:tc>
                <w:tcPr>
                  <w:tcW w:w="106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由销售厂家直接回收，不在厂区内储存</w:t>
                  </w:r>
                </w:p>
              </w:tc>
              <w:tc>
                <w:tcPr>
                  <w:tcW w:w="1062"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6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96"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84" w:type="dxa"/>
                  <w:vMerge w:val="continue"/>
                  <w:tcBorders>
                    <w:right w:val="single" w:color="auto" w:sz="4" w:space="0"/>
                  </w:tcBorders>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tcBorders>
                    <w:left w:val="single" w:color="auto" w:sz="4" w:space="0"/>
                  </w:tcBorders>
                  <w:vAlign w:val="center"/>
                </w:tcPr>
                <w:p>
                  <w:pPr>
                    <w:jc w:val="center"/>
                    <w:rPr>
                      <w:rFonts w:hint="default" w:ascii="Times New Roman" w:hAnsi="Times New Roman" w:eastAsia="宋体" w:cs="Times New Roman"/>
                      <w:color w:val="auto"/>
                      <w:sz w:val="21"/>
                      <w:szCs w:val="21"/>
                      <w:highlight w:val="none"/>
                    </w:rPr>
                  </w:pPr>
                </w:p>
              </w:tc>
              <w:tc>
                <w:tcPr>
                  <w:tcW w:w="108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生活垃圾</w:t>
                  </w:r>
                </w:p>
              </w:tc>
              <w:tc>
                <w:tcPr>
                  <w:tcW w:w="728"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垃圾箱</w:t>
                  </w:r>
                </w:p>
              </w:tc>
              <w:tc>
                <w:tcPr>
                  <w:tcW w:w="1062"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w:t>
                  </w:r>
                </w:p>
              </w:tc>
              <w:tc>
                <w:tcPr>
                  <w:tcW w:w="1062"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w:t>
                  </w:r>
                </w:p>
              </w:tc>
              <w:tc>
                <w:tcPr>
                  <w:tcW w:w="1063"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w:t>
                  </w:r>
                </w:p>
              </w:tc>
              <w:tc>
                <w:tcPr>
                  <w:tcW w:w="896"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c>
                <w:tcPr>
                  <w:tcW w:w="1684" w:type="dxa"/>
                  <w:tcBorders>
                    <w:righ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rPr>
                    <w:t>—</w:t>
                  </w:r>
                </w:p>
              </w:tc>
            </w:tr>
            <w:bookmarkEnd w:id="24"/>
            <w:bookmarkEnd w:id="25"/>
            <w:bookmarkEnd w:id="26"/>
            <w:bookmarkEnd w:id="27"/>
          </w:tbl>
          <w:p>
            <w:pPr>
              <w:widowControl/>
              <w:spacing w:line="360" w:lineRule="auto"/>
              <w:ind w:firstLine="480" w:firstLineChars="200"/>
              <w:jc w:val="left"/>
              <w:rPr>
                <w:rFonts w:hint="default" w:ascii="Times New Roman" w:hAnsi="Times New Roman" w:eastAsia="宋体" w:cs="Times New Roman"/>
                <w:color w:val="auto"/>
                <w:sz w:val="24"/>
                <w:highlight w:val="none"/>
              </w:rPr>
            </w:pPr>
          </w:p>
        </w:tc>
      </w:tr>
    </w:tbl>
    <w:p>
      <w:pPr>
        <w:jc w:val="center"/>
        <w:rPr>
          <w:rFonts w:hint="default" w:ascii="Times New Roman" w:hAnsi="Times New Roman" w:eastAsia="宋体" w:cs="Times New Roman"/>
          <w:b/>
          <w:bCs/>
          <w:color w:val="auto"/>
          <w:sz w:val="28"/>
          <w:szCs w:val="28"/>
          <w:highlight w:val="none"/>
        </w:rPr>
        <w:sectPr>
          <w:pgSz w:w="11906" w:h="16838"/>
          <w:pgMar w:top="1440" w:right="1463" w:bottom="1440" w:left="1463" w:header="851" w:footer="992" w:gutter="0"/>
          <w:cols w:space="425" w:num="1"/>
          <w:docGrid w:type="lines" w:linePitch="312" w:charSpace="0"/>
        </w:sectPr>
      </w:pPr>
    </w:p>
    <w:p>
      <w:pPr>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五、环境保护措施监督检查清单</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2012"/>
        <w:gridCol w:w="1650"/>
        <w:gridCol w:w="1693"/>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Align w:val="center"/>
          </w:tcPr>
          <w:p>
            <w:pPr>
              <w:snapToGrid w:val="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要素内容</w:t>
            </w:r>
          </w:p>
        </w:tc>
        <w:tc>
          <w:tcPr>
            <w:tcW w:w="2012" w:type="dxa"/>
            <w:vAlign w:val="center"/>
          </w:tcPr>
          <w:p>
            <w:pPr>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编号、名称）/污染源</w:t>
            </w:r>
          </w:p>
        </w:tc>
        <w:tc>
          <w:tcPr>
            <w:tcW w:w="1650" w:type="dxa"/>
            <w:vAlign w:val="center"/>
          </w:tcPr>
          <w:p>
            <w:pPr>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1693" w:type="dxa"/>
            <w:vAlign w:val="center"/>
          </w:tcPr>
          <w:p>
            <w:pPr>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2324" w:type="dxa"/>
            <w:vAlign w:val="center"/>
          </w:tcPr>
          <w:p>
            <w:pPr>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restart"/>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大气环境</w:t>
            </w:r>
          </w:p>
        </w:tc>
        <w:tc>
          <w:tcPr>
            <w:tcW w:w="2012" w:type="dxa"/>
            <w:vMerge w:val="restart"/>
            <w:vAlign w:val="center"/>
          </w:tcPr>
          <w:p>
            <w:pPr>
              <w:snapToGrid w:val="0"/>
              <w:jc w:val="center"/>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7MW</w:t>
            </w:r>
            <w:r>
              <w:rPr>
                <w:rFonts w:hint="default" w:ascii="Times New Roman" w:hAnsi="Times New Roman" w:eastAsia="宋体" w:cs="Times New Roman"/>
                <w:color w:val="auto"/>
                <w:sz w:val="24"/>
                <w:szCs w:val="24"/>
                <w:highlight w:val="none"/>
                <w:lang w:eastAsia="zh-CN"/>
              </w:rPr>
              <w:t>生物质热水锅炉烟囱</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烟尘</w:t>
            </w:r>
          </w:p>
        </w:tc>
        <w:tc>
          <w:tcPr>
            <w:tcW w:w="1693" w:type="dxa"/>
            <w:vMerge w:val="restart"/>
            <w:vAlign w:val="center"/>
          </w:tcPr>
          <w:p>
            <w:pPr>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1台</w:t>
            </w:r>
            <w:r>
              <w:rPr>
                <w:rFonts w:hint="default" w:ascii="Times New Roman" w:hAnsi="Times New Roman" w:eastAsia="宋体" w:cs="Times New Roman"/>
                <w:color w:val="auto"/>
                <w:sz w:val="24"/>
                <w:szCs w:val="24"/>
                <w:highlight w:val="none"/>
                <w:lang w:eastAsia="zh-CN"/>
              </w:rPr>
              <w:t>多管旋风</w:t>
            </w:r>
            <w:r>
              <w:rPr>
                <w:rFonts w:hint="default" w:ascii="Times New Roman" w:hAnsi="Times New Roman" w:eastAsia="宋体" w:cs="Times New Roman"/>
                <w:color w:val="auto"/>
                <w:sz w:val="24"/>
                <w:szCs w:val="24"/>
                <w:highlight w:val="none"/>
              </w:rPr>
              <w:t>除尘器</w:t>
            </w:r>
            <w:r>
              <w:rPr>
                <w:rFonts w:hint="default" w:ascii="Times New Roman" w:hAnsi="Times New Roman" w:eastAsia="宋体" w:cs="Times New Roman"/>
                <w:color w:val="auto"/>
                <w:sz w:val="24"/>
                <w:szCs w:val="24"/>
                <w:highlight w:val="none"/>
                <w:lang w:val="en-US" w:eastAsia="zh-CN"/>
              </w:rPr>
              <w:t>+1台布袋除尘器+</w:t>
            </w:r>
            <w:r>
              <w:rPr>
                <w:rFonts w:hint="default" w:ascii="Times New Roman" w:hAnsi="Times New Roman" w:eastAsia="宋体" w:cs="Times New Roman"/>
                <w:color w:val="auto"/>
                <w:sz w:val="24"/>
                <w:szCs w:val="24"/>
                <w:highlight w:val="none"/>
              </w:rPr>
              <w:t>1台</w:t>
            </w:r>
            <w:r>
              <w:rPr>
                <w:rFonts w:hint="default" w:ascii="Times New Roman" w:hAnsi="Times New Roman" w:eastAsia="宋体" w:cs="Times New Roman"/>
                <w:color w:val="auto"/>
                <w:sz w:val="24"/>
                <w:szCs w:val="24"/>
                <w:highlight w:val="none"/>
                <w:lang w:eastAsia="zh-CN"/>
              </w:rPr>
              <w:t>钠碱法脱硫塔</w:t>
            </w:r>
            <w:r>
              <w:rPr>
                <w:rFonts w:hint="default" w:ascii="Times New Roman" w:hAnsi="Times New Roman" w:eastAsia="宋体" w:cs="Times New Roman"/>
                <w:color w:val="auto"/>
                <w:sz w:val="24"/>
                <w:szCs w:val="24"/>
                <w:highlight w:val="none"/>
              </w:rPr>
              <w:t>+1根</w:t>
            </w:r>
            <w:r>
              <w:rPr>
                <w:rFonts w:hint="default" w:ascii="Times New Roman" w:hAnsi="Times New Roman" w:eastAsia="宋体" w:cs="Times New Roman"/>
                <w:color w:val="auto"/>
                <w:sz w:val="24"/>
                <w:szCs w:val="24"/>
                <w:highlight w:val="none"/>
                <w:lang w:val="en-US" w:eastAsia="zh-CN"/>
              </w:rPr>
              <w:t>40m</w:t>
            </w:r>
            <w:r>
              <w:rPr>
                <w:rFonts w:hint="default" w:ascii="Times New Roman" w:hAnsi="Times New Roman" w:eastAsia="宋体" w:cs="Times New Roman"/>
                <w:color w:val="auto"/>
                <w:sz w:val="24"/>
                <w:szCs w:val="24"/>
                <w:highlight w:val="none"/>
              </w:rPr>
              <w:t>高烟囱</w:t>
            </w:r>
          </w:p>
        </w:tc>
        <w:tc>
          <w:tcPr>
            <w:tcW w:w="2324" w:type="dxa"/>
            <w:vMerge w:val="restart"/>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《锅炉大气污染物排放标准》</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GB13271-2014）表2新建锅炉大气污染物排放浓度限值中燃煤锅炉的排放浓度限值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Merge w:val="continue"/>
            <w:vAlign w:val="center"/>
          </w:tcPr>
          <w:p>
            <w:pPr>
              <w:snapToGrid w:val="0"/>
              <w:jc w:val="center"/>
              <w:rPr>
                <w:rFonts w:hint="default" w:ascii="Times New Roman" w:hAnsi="Times New Roman" w:eastAsia="宋体" w:cs="Times New Roman"/>
                <w:color w:val="auto"/>
                <w:sz w:val="24"/>
                <w:szCs w:val="24"/>
                <w:highlight w:val="none"/>
              </w:rPr>
            </w:pP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二氧化硫</w:t>
            </w:r>
          </w:p>
        </w:tc>
        <w:tc>
          <w:tcPr>
            <w:tcW w:w="1693" w:type="dxa"/>
            <w:vMerge w:val="continue"/>
            <w:vAlign w:val="center"/>
          </w:tcPr>
          <w:p>
            <w:pPr>
              <w:snapToGrid w:val="0"/>
              <w:jc w:val="center"/>
              <w:rPr>
                <w:rFonts w:hint="default" w:ascii="Times New Roman" w:hAnsi="Times New Roman" w:eastAsia="宋体" w:cs="Times New Roman"/>
                <w:bCs/>
                <w:color w:val="auto"/>
                <w:sz w:val="24"/>
                <w:szCs w:val="24"/>
                <w:highlight w:val="none"/>
              </w:rPr>
            </w:pP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Merge w:val="continue"/>
            <w:vAlign w:val="center"/>
          </w:tcPr>
          <w:p>
            <w:pPr>
              <w:snapToGrid w:val="0"/>
              <w:jc w:val="center"/>
              <w:rPr>
                <w:rFonts w:hint="default" w:ascii="Times New Roman" w:hAnsi="Times New Roman" w:eastAsia="宋体" w:cs="Times New Roman"/>
                <w:color w:val="auto"/>
                <w:sz w:val="24"/>
                <w:szCs w:val="24"/>
                <w:highlight w:val="none"/>
              </w:rPr>
            </w:pP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氮氧化物</w:t>
            </w:r>
          </w:p>
        </w:tc>
        <w:tc>
          <w:tcPr>
            <w:tcW w:w="1693" w:type="dxa"/>
            <w:vMerge w:val="continue"/>
            <w:vAlign w:val="center"/>
          </w:tcPr>
          <w:p>
            <w:pPr>
              <w:snapToGrid w:val="0"/>
              <w:jc w:val="center"/>
              <w:rPr>
                <w:rFonts w:hint="default" w:ascii="Times New Roman" w:hAnsi="Times New Roman" w:eastAsia="宋体" w:cs="Times New Roman"/>
                <w:bCs/>
                <w:color w:val="auto"/>
                <w:sz w:val="24"/>
                <w:szCs w:val="24"/>
                <w:highlight w:val="none"/>
              </w:rPr>
            </w:pP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Merge w:val="continue"/>
            <w:vAlign w:val="center"/>
          </w:tcPr>
          <w:p>
            <w:pPr>
              <w:snapToGrid w:val="0"/>
              <w:jc w:val="center"/>
              <w:rPr>
                <w:rFonts w:hint="default" w:ascii="Times New Roman" w:hAnsi="Times New Roman" w:eastAsia="宋体" w:cs="Times New Roman"/>
                <w:color w:val="auto"/>
                <w:sz w:val="24"/>
                <w:szCs w:val="24"/>
                <w:highlight w:val="none"/>
              </w:rPr>
            </w:pPr>
          </w:p>
        </w:tc>
        <w:tc>
          <w:tcPr>
            <w:tcW w:w="1650" w:type="dxa"/>
            <w:vAlign w:val="center"/>
          </w:tcPr>
          <w:p>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汞及其化合物</w:t>
            </w:r>
          </w:p>
        </w:tc>
        <w:tc>
          <w:tcPr>
            <w:tcW w:w="1693" w:type="dxa"/>
            <w:vMerge w:val="continue"/>
            <w:vAlign w:val="center"/>
          </w:tcPr>
          <w:p>
            <w:pPr>
              <w:snapToGrid w:val="0"/>
              <w:jc w:val="center"/>
              <w:rPr>
                <w:rFonts w:hint="default" w:ascii="Times New Roman" w:hAnsi="Times New Roman" w:eastAsia="宋体" w:cs="Times New Roman"/>
                <w:bCs/>
                <w:color w:val="auto"/>
                <w:sz w:val="24"/>
                <w:szCs w:val="24"/>
                <w:highlight w:val="none"/>
              </w:rPr>
            </w:pP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Merge w:val="continue"/>
            <w:vAlign w:val="center"/>
          </w:tcPr>
          <w:p>
            <w:pPr>
              <w:snapToGrid w:val="0"/>
              <w:jc w:val="center"/>
              <w:rPr>
                <w:rFonts w:hint="default" w:ascii="Times New Roman" w:hAnsi="Times New Roman" w:eastAsia="宋体" w:cs="Times New Roman"/>
                <w:color w:val="auto"/>
                <w:sz w:val="24"/>
                <w:szCs w:val="24"/>
                <w:highlight w:val="none"/>
              </w:rPr>
            </w:pPr>
          </w:p>
        </w:tc>
        <w:tc>
          <w:tcPr>
            <w:tcW w:w="1650" w:type="dxa"/>
            <w:vAlign w:val="center"/>
          </w:tcPr>
          <w:p>
            <w:pPr>
              <w:jc w:val="center"/>
              <w:rPr>
                <w:rFonts w:hint="default" w:ascii="Times New Roman" w:hAnsi="Times New Roman" w:eastAsia="宋体" w:cs="Times New Roman"/>
                <w:bCs/>
                <w:color w:val="auto"/>
                <w:spacing w:val="0"/>
                <w:sz w:val="24"/>
                <w:szCs w:val="24"/>
                <w:highlight w:val="none"/>
              </w:rPr>
            </w:pPr>
            <w:r>
              <w:rPr>
                <w:rFonts w:hint="default" w:ascii="Times New Roman" w:hAnsi="Times New Roman" w:eastAsia="宋体" w:cs="Times New Roman"/>
                <w:bCs/>
                <w:color w:val="auto"/>
                <w:spacing w:val="0"/>
                <w:sz w:val="24"/>
                <w:szCs w:val="24"/>
                <w:highlight w:val="none"/>
              </w:rPr>
              <w:t>烟气黑度</w:t>
            </w:r>
          </w:p>
        </w:tc>
        <w:tc>
          <w:tcPr>
            <w:tcW w:w="1693" w:type="dxa"/>
            <w:vMerge w:val="continue"/>
            <w:vAlign w:val="center"/>
          </w:tcPr>
          <w:p>
            <w:pPr>
              <w:snapToGrid w:val="0"/>
              <w:jc w:val="center"/>
              <w:rPr>
                <w:rFonts w:hint="default" w:ascii="Times New Roman" w:hAnsi="Times New Roman" w:eastAsia="宋体" w:cs="Times New Roman"/>
                <w:bCs/>
                <w:color w:val="auto"/>
                <w:sz w:val="24"/>
                <w:szCs w:val="24"/>
                <w:highlight w:val="none"/>
              </w:rPr>
            </w:pP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Align w:val="center"/>
          </w:tcPr>
          <w:p>
            <w:pPr>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灰渣间</w:t>
            </w:r>
          </w:p>
        </w:tc>
        <w:tc>
          <w:tcPr>
            <w:tcW w:w="1650" w:type="dxa"/>
            <w:vAlign w:val="center"/>
          </w:tcPr>
          <w:p>
            <w:pPr>
              <w:jc w:val="center"/>
              <w:rPr>
                <w:rFonts w:hint="default" w:ascii="Times New Roman" w:hAnsi="Times New Roman" w:eastAsia="宋体" w:cs="Times New Roman"/>
                <w:bCs/>
                <w:color w:val="auto"/>
                <w:spacing w:val="0"/>
                <w:sz w:val="24"/>
                <w:szCs w:val="24"/>
                <w:highlight w:val="none"/>
              </w:rPr>
            </w:pPr>
            <w:r>
              <w:rPr>
                <w:rFonts w:hint="default" w:ascii="Times New Roman" w:hAnsi="Times New Roman" w:eastAsia="宋体" w:cs="Times New Roman"/>
                <w:bCs/>
                <w:color w:val="auto"/>
                <w:spacing w:val="0"/>
                <w:sz w:val="24"/>
                <w:szCs w:val="24"/>
                <w:highlight w:val="none"/>
              </w:rPr>
              <w:t>颗粒物</w:t>
            </w:r>
          </w:p>
        </w:tc>
        <w:tc>
          <w:tcPr>
            <w:tcW w:w="1693" w:type="dxa"/>
            <w:vAlign w:val="center"/>
          </w:tcPr>
          <w:p>
            <w:pPr>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洒水降尘+</w:t>
            </w:r>
            <w:r>
              <w:rPr>
                <w:rFonts w:hint="default" w:ascii="Times New Roman" w:hAnsi="Times New Roman" w:eastAsia="宋体" w:cs="Times New Roman"/>
                <w:bCs/>
                <w:color w:val="auto"/>
                <w:sz w:val="24"/>
                <w:szCs w:val="24"/>
                <w:highlight w:val="none"/>
                <w:lang w:eastAsia="zh-CN"/>
              </w:rPr>
              <w:t>全封闭灰渣间</w:t>
            </w:r>
          </w:p>
        </w:tc>
        <w:tc>
          <w:tcPr>
            <w:tcW w:w="2324"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《大气污染物综合排放标准》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GB16297-1996）表2新污染源大气污染物排放限值中“无组织排放监控浓度限值”1.0mg/m</w:t>
            </w:r>
            <w:r>
              <w:rPr>
                <w:rFonts w:hint="default" w:ascii="Times New Roman" w:hAnsi="Times New Roman" w:eastAsia="宋体" w:cs="Times New Roman"/>
                <w:color w:val="auto"/>
                <w:sz w:val="24"/>
                <w:szCs w:val="24"/>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restart"/>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地表水环境</w:t>
            </w:r>
          </w:p>
        </w:tc>
        <w:tc>
          <w:tcPr>
            <w:tcW w:w="201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软水制备设施</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软水制备废水</w:t>
            </w:r>
          </w:p>
        </w:tc>
        <w:tc>
          <w:tcPr>
            <w:tcW w:w="1693" w:type="dxa"/>
            <w:vMerge w:val="restart"/>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用于灰渣库抑尘、出渣机补水、空地降尘洒水，不外排</w:t>
            </w:r>
          </w:p>
        </w:tc>
        <w:tc>
          <w:tcPr>
            <w:tcW w:w="2324" w:type="dxa"/>
            <w:vMerge w:val="restart"/>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highlight w:val="none"/>
              </w:rPr>
            </w:pPr>
          </w:p>
        </w:tc>
        <w:tc>
          <w:tcPr>
            <w:tcW w:w="2012" w:type="dxa"/>
            <w:vAlign w:val="center"/>
          </w:tcPr>
          <w:p>
            <w:pPr>
              <w:jc w:val="center"/>
              <w:rPr>
                <w:rFonts w:hint="default" w:ascii="Times New Roman" w:hAnsi="Times New Roman" w:eastAsia="宋体" w:cs="Times New Roman"/>
                <w:color w:val="auto"/>
                <w:sz w:val="24"/>
                <w:szCs w:val="24"/>
                <w:highlight w:val="none"/>
                <w:lang w:val="de-DE" w:eastAsia="zh-CN"/>
              </w:rPr>
            </w:pPr>
            <w:r>
              <w:rPr>
                <w:rFonts w:hint="eastAsia" w:ascii="Times New Roman" w:hAnsi="Times New Roman" w:eastAsia="宋体" w:cs="Times New Roman"/>
                <w:color w:val="auto"/>
                <w:sz w:val="24"/>
                <w:szCs w:val="24"/>
                <w:highlight w:val="none"/>
                <w:lang w:eastAsia="zh-CN"/>
              </w:rPr>
              <w:t>7MW</w:t>
            </w:r>
            <w:r>
              <w:rPr>
                <w:rFonts w:hint="default" w:ascii="Times New Roman" w:hAnsi="Times New Roman" w:eastAsia="宋体" w:cs="Times New Roman"/>
                <w:color w:val="auto"/>
                <w:sz w:val="24"/>
                <w:szCs w:val="24"/>
                <w:highlight w:val="none"/>
                <w:lang w:eastAsia="zh-CN"/>
              </w:rPr>
              <w:t>生物质热水锅炉</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锅炉排污水</w:t>
            </w:r>
          </w:p>
        </w:tc>
        <w:tc>
          <w:tcPr>
            <w:tcW w:w="1693" w:type="dxa"/>
            <w:vMerge w:val="continue"/>
            <w:vAlign w:val="center"/>
          </w:tcPr>
          <w:p>
            <w:pPr>
              <w:jc w:val="center"/>
              <w:rPr>
                <w:rFonts w:hint="default" w:ascii="Times New Roman" w:hAnsi="Times New Roman" w:eastAsia="宋体" w:cs="Times New Roman"/>
                <w:color w:val="auto"/>
                <w:sz w:val="24"/>
                <w:szCs w:val="24"/>
                <w:highlight w:val="none"/>
              </w:rPr>
            </w:pP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highlight w:val="none"/>
              </w:rPr>
            </w:pPr>
          </w:p>
        </w:tc>
        <w:tc>
          <w:tcPr>
            <w:tcW w:w="2012" w:type="dxa"/>
            <w:vAlign w:val="center"/>
          </w:tcPr>
          <w:p>
            <w:pPr>
              <w:jc w:val="center"/>
              <w:rPr>
                <w:rFonts w:hint="default" w:ascii="Times New Roman" w:hAnsi="Times New Roman" w:eastAsia="宋体" w:cs="Times New Roman"/>
                <w:color w:val="auto"/>
                <w:sz w:val="24"/>
                <w:szCs w:val="24"/>
                <w:highlight w:val="none"/>
                <w:lang w:val="de-DE"/>
              </w:rPr>
            </w:pPr>
            <w:r>
              <w:rPr>
                <w:rFonts w:hint="default" w:ascii="Times New Roman" w:hAnsi="Times New Roman" w:eastAsia="宋体" w:cs="Times New Roman"/>
                <w:color w:val="auto"/>
                <w:sz w:val="24"/>
                <w:szCs w:val="24"/>
                <w:highlight w:val="none"/>
              </w:rPr>
              <w:t>出渣机</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出渣机废水</w:t>
            </w:r>
          </w:p>
        </w:tc>
        <w:tc>
          <w:tcPr>
            <w:tcW w:w="169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循环使用，不外排</w:t>
            </w:r>
          </w:p>
        </w:tc>
        <w:tc>
          <w:tcPr>
            <w:tcW w:w="2324"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highlight w:val="none"/>
              </w:rPr>
            </w:pPr>
          </w:p>
        </w:tc>
        <w:tc>
          <w:tcPr>
            <w:tcW w:w="2012"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炉渣</w:t>
            </w:r>
          </w:p>
        </w:tc>
        <w:tc>
          <w:tcPr>
            <w:tcW w:w="1650"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抑尘用水</w:t>
            </w:r>
          </w:p>
        </w:tc>
        <w:tc>
          <w:tcPr>
            <w:tcW w:w="1693"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无废水产生</w:t>
            </w:r>
          </w:p>
        </w:tc>
        <w:tc>
          <w:tcPr>
            <w:tcW w:w="2324"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highlight w:val="none"/>
              </w:rPr>
            </w:pPr>
          </w:p>
        </w:tc>
        <w:tc>
          <w:tcPr>
            <w:tcW w:w="201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钠碱法脱硫塔</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除尘废</w:t>
            </w:r>
            <w:r>
              <w:rPr>
                <w:rFonts w:hint="default" w:ascii="Times New Roman" w:hAnsi="Times New Roman" w:eastAsia="宋体" w:cs="Times New Roman"/>
                <w:color w:val="auto"/>
                <w:sz w:val="24"/>
                <w:szCs w:val="24"/>
                <w:highlight w:val="none"/>
              </w:rPr>
              <w:t>水</w:t>
            </w:r>
          </w:p>
        </w:tc>
        <w:tc>
          <w:tcPr>
            <w:tcW w:w="1693"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循环使用，不外排</w:t>
            </w:r>
          </w:p>
        </w:tc>
        <w:tc>
          <w:tcPr>
            <w:tcW w:w="2324"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highlight w:val="none"/>
              </w:rPr>
            </w:pPr>
          </w:p>
        </w:tc>
        <w:tc>
          <w:tcPr>
            <w:tcW w:w="201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kern w:val="0"/>
                <w:sz w:val="24"/>
                <w:szCs w:val="24"/>
                <w:lang w:val="de-DE"/>
              </w:rPr>
              <w:t>生活污水</w:t>
            </w:r>
          </w:p>
        </w:tc>
        <w:tc>
          <w:tcPr>
            <w:tcW w:w="1650"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sz w:val="24"/>
                <w:szCs w:val="24"/>
              </w:rPr>
              <w:t>COD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SS</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1693"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排入防渗化粪池，</w:t>
            </w:r>
            <w:r>
              <w:rPr>
                <w:rFonts w:hint="default" w:ascii="Times New Roman" w:hAnsi="Times New Roman" w:eastAsia="宋体" w:cs="Times New Roman"/>
                <w:color w:val="auto"/>
                <w:sz w:val="24"/>
                <w:szCs w:val="24"/>
                <w:highlight w:val="none"/>
                <w:lang w:eastAsia="zh-CN"/>
              </w:rPr>
              <w:t>定期清运至乌拉特前旗污水处理厂处理</w:t>
            </w:r>
          </w:p>
        </w:tc>
        <w:tc>
          <w:tcPr>
            <w:tcW w:w="2324"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声环境</w:t>
            </w:r>
          </w:p>
        </w:tc>
        <w:tc>
          <w:tcPr>
            <w:tcW w:w="201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给水泵、</w:t>
            </w:r>
            <w:r>
              <w:rPr>
                <w:rFonts w:hint="default" w:ascii="Times New Roman" w:hAnsi="Times New Roman" w:eastAsia="宋体" w:cs="Times New Roman"/>
                <w:color w:val="auto"/>
                <w:sz w:val="24"/>
                <w:szCs w:val="24"/>
                <w:highlight w:val="none"/>
                <w:lang w:eastAsia="zh-CN"/>
              </w:rPr>
              <w:t>循环水</w:t>
            </w:r>
            <w:r>
              <w:rPr>
                <w:rFonts w:hint="default" w:ascii="Times New Roman" w:hAnsi="Times New Roman" w:eastAsia="宋体" w:cs="Times New Roman"/>
                <w:color w:val="auto"/>
                <w:sz w:val="24"/>
                <w:szCs w:val="24"/>
                <w:highlight w:val="none"/>
              </w:rPr>
              <w:t>泵、风机等设备</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w:t>
            </w:r>
          </w:p>
        </w:tc>
        <w:tc>
          <w:tcPr>
            <w:tcW w:w="169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基础减震措施、隔声</w:t>
            </w:r>
          </w:p>
        </w:tc>
        <w:tc>
          <w:tcPr>
            <w:tcW w:w="2324"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《工业企业厂界环境噪声排放标准》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电磁辐射</w:t>
            </w:r>
          </w:p>
        </w:tc>
        <w:tc>
          <w:tcPr>
            <w:tcW w:w="201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69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324"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restart"/>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固体废物</w:t>
            </w:r>
          </w:p>
        </w:tc>
        <w:tc>
          <w:tcPr>
            <w:tcW w:w="2012" w:type="dxa"/>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生物质热水锅炉</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炉渣</w:t>
            </w:r>
          </w:p>
        </w:tc>
        <w:tc>
          <w:tcPr>
            <w:tcW w:w="1693" w:type="dxa"/>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定期作为</w:t>
            </w:r>
            <w:r>
              <w:rPr>
                <w:rFonts w:hint="default" w:ascii="Times New Roman" w:hAnsi="Times New Roman" w:eastAsia="宋体" w:cs="Times New Roman"/>
                <w:color w:val="auto"/>
                <w:sz w:val="24"/>
                <w:szCs w:val="24"/>
                <w:highlight w:val="none"/>
              </w:rPr>
              <w:t>肥料施用于</w:t>
            </w:r>
            <w:r>
              <w:rPr>
                <w:rFonts w:hint="default" w:ascii="Times New Roman" w:hAnsi="Times New Roman" w:eastAsia="宋体" w:cs="Times New Roman"/>
                <w:color w:val="auto"/>
                <w:sz w:val="24"/>
                <w:szCs w:val="24"/>
                <w:highlight w:val="none"/>
                <w:lang w:val="en-US" w:eastAsia="zh-CN"/>
              </w:rPr>
              <w:t>周边农田</w:t>
            </w:r>
          </w:p>
        </w:tc>
        <w:tc>
          <w:tcPr>
            <w:tcW w:w="2324" w:type="dxa"/>
            <w:vMerge w:val="restart"/>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《一般工业固体废物贮存和填埋污染控制标准》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1台</w:t>
            </w:r>
            <w:r>
              <w:rPr>
                <w:rFonts w:hint="default" w:ascii="Times New Roman" w:hAnsi="Times New Roman" w:eastAsia="宋体" w:cs="Times New Roman"/>
                <w:color w:val="auto"/>
                <w:sz w:val="24"/>
                <w:szCs w:val="24"/>
                <w:highlight w:val="none"/>
                <w:lang w:eastAsia="zh-CN"/>
              </w:rPr>
              <w:t>多管旋风</w:t>
            </w:r>
            <w:r>
              <w:rPr>
                <w:rFonts w:hint="default" w:ascii="Times New Roman" w:hAnsi="Times New Roman" w:eastAsia="宋体" w:cs="Times New Roman"/>
                <w:color w:val="auto"/>
                <w:sz w:val="24"/>
                <w:szCs w:val="24"/>
                <w:highlight w:val="none"/>
              </w:rPr>
              <w:t>除尘器</w:t>
            </w:r>
            <w:r>
              <w:rPr>
                <w:rFonts w:hint="default" w:ascii="Times New Roman" w:hAnsi="Times New Roman" w:eastAsia="宋体" w:cs="Times New Roman"/>
                <w:color w:val="auto"/>
                <w:sz w:val="24"/>
                <w:szCs w:val="24"/>
                <w:highlight w:val="none"/>
                <w:lang w:val="en-US" w:eastAsia="zh-CN"/>
              </w:rPr>
              <w:t>+1台布袋除尘器</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除尘灰</w:t>
            </w:r>
          </w:p>
        </w:tc>
        <w:tc>
          <w:tcPr>
            <w:tcW w:w="1693" w:type="dxa"/>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定期作为</w:t>
            </w:r>
            <w:r>
              <w:rPr>
                <w:rFonts w:hint="default" w:ascii="Times New Roman" w:hAnsi="Times New Roman" w:eastAsia="宋体" w:cs="Times New Roman"/>
                <w:color w:val="auto"/>
                <w:sz w:val="24"/>
                <w:szCs w:val="24"/>
                <w:highlight w:val="none"/>
              </w:rPr>
              <w:t>肥料施用于</w:t>
            </w:r>
            <w:r>
              <w:rPr>
                <w:rFonts w:hint="default" w:ascii="Times New Roman" w:hAnsi="Times New Roman" w:eastAsia="宋体" w:cs="Times New Roman"/>
                <w:color w:val="auto"/>
                <w:sz w:val="24"/>
                <w:szCs w:val="24"/>
                <w:highlight w:val="none"/>
                <w:lang w:val="en-US" w:eastAsia="zh-CN"/>
              </w:rPr>
              <w:t>周边农田</w:t>
            </w: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软水制备装置</w:t>
            </w:r>
          </w:p>
        </w:tc>
        <w:tc>
          <w:tcPr>
            <w:tcW w:w="165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废饱和树脂</w:t>
            </w:r>
          </w:p>
        </w:tc>
        <w:tc>
          <w:tcPr>
            <w:tcW w:w="1693"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定期</w:t>
            </w:r>
            <w:r>
              <w:rPr>
                <w:rFonts w:hint="default" w:ascii="Times New Roman" w:hAnsi="Times New Roman" w:eastAsia="宋体" w:cs="Times New Roman"/>
                <w:color w:val="auto"/>
                <w:sz w:val="24"/>
                <w:szCs w:val="24"/>
                <w:highlight w:val="none"/>
              </w:rPr>
              <w:t>厂家回收</w:t>
            </w: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三级沉淀池</w:t>
            </w:r>
          </w:p>
        </w:tc>
        <w:tc>
          <w:tcPr>
            <w:tcW w:w="1650"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脱硫渣、除尘灰</w:t>
            </w:r>
          </w:p>
        </w:tc>
        <w:tc>
          <w:tcPr>
            <w:tcW w:w="1693"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定期清运至建材公司综合利用</w:t>
            </w: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Merge w:val="continue"/>
            <w:vAlign w:val="center"/>
          </w:tcPr>
          <w:p>
            <w:pPr>
              <w:jc w:val="center"/>
              <w:rPr>
                <w:rFonts w:hint="default" w:ascii="Times New Roman" w:hAnsi="Times New Roman" w:eastAsia="宋体" w:cs="Times New Roman"/>
                <w:b/>
                <w:bCs/>
                <w:color w:val="auto"/>
                <w:sz w:val="24"/>
                <w:szCs w:val="24"/>
                <w:highlight w:val="none"/>
              </w:rPr>
            </w:pPr>
          </w:p>
        </w:tc>
        <w:tc>
          <w:tcPr>
            <w:tcW w:w="2012" w:type="dxa"/>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rPr>
              <w:t>工作人员</w:t>
            </w:r>
          </w:p>
        </w:tc>
        <w:tc>
          <w:tcPr>
            <w:tcW w:w="1650"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rPr>
              <w:t>生活垃圾</w:t>
            </w:r>
          </w:p>
        </w:tc>
        <w:tc>
          <w:tcPr>
            <w:tcW w:w="1693" w:type="dxa"/>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rPr>
              <w:t>定期运至环卫部门指定地点</w:t>
            </w:r>
          </w:p>
        </w:tc>
        <w:tc>
          <w:tcPr>
            <w:tcW w:w="2324" w:type="dxa"/>
            <w:vMerge w:val="continue"/>
            <w:vAlign w:val="center"/>
          </w:tcPr>
          <w:p>
            <w:pPr>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土壤及地下水污染防治措施</w:t>
            </w:r>
          </w:p>
        </w:tc>
        <w:tc>
          <w:tcPr>
            <w:tcW w:w="7679" w:type="dxa"/>
            <w:gridSpan w:val="4"/>
            <w:vAlign w:val="center"/>
          </w:tcPr>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本项目灰渣间的防渗系数小于1×10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cm/s，采用混凝土</w:t>
            </w:r>
            <w:r>
              <w:rPr>
                <w:rFonts w:hint="default" w:ascii="Times New Roman" w:hAnsi="Times New Roman" w:eastAsia="宋体" w:cs="Times New Roman"/>
                <w:color w:val="auto"/>
                <w:sz w:val="24"/>
                <w:szCs w:val="24"/>
                <w:highlight w:val="none"/>
                <w:lang w:val="en-US" w:eastAsia="zh-CN"/>
              </w:rPr>
              <w:t>+防水材料</w:t>
            </w:r>
            <w:r>
              <w:rPr>
                <w:rFonts w:hint="default" w:ascii="Times New Roman" w:hAnsi="Times New Roman" w:eastAsia="宋体" w:cs="Times New Roman"/>
                <w:color w:val="auto"/>
                <w:sz w:val="24"/>
                <w:szCs w:val="24"/>
                <w:highlight w:val="none"/>
              </w:rPr>
              <w:t>铺设，达到防渗的目的；</w:t>
            </w:r>
            <w:r>
              <w:rPr>
                <w:rFonts w:hint="default" w:ascii="Times New Roman" w:hAnsi="Times New Roman" w:eastAsia="宋体" w:cs="Times New Roman"/>
                <w:color w:val="auto"/>
                <w:sz w:val="24"/>
                <w:szCs w:val="24"/>
                <w:highlight w:val="none"/>
                <w:lang w:eastAsia="zh-CN"/>
              </w:rPr>
              <w:t>燃料库</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锅炉房</w:t>
            </w:r>
            <w:r>
              <w:rPr>
                <w:rFonts w:hint="default" w:ascii="Times New Roman" w:hAnsi="Times New Roman" w:eastAsia="宋体" w:cs="Times New Roman"/>
                <w:color w:val="auto"/>
                <w:sz w:val="24"/>
                <w:szCs w:val="24"/>
                <w:highlight w:val="none"/>
              </w:rPr>
              <w:t>为简单防渗区。</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通过采取严格有效的防渗措施，可以有效降低非正常工况发生的污染物泄露事故；在发生泄露情况下，采取有效的应急措施，可以污染物进入地下水、土壤环境的风险降到最低。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生态保护措施</w:t>
            </w:r>
          </w:p>
        </w:tc>
        <w:tc>
          <w:tcPr>
            <w:tcW w:w="7679" w:type="dxa"/>
            <w:gridSpan w:val="4"/>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环境风险</w:t>
            </w:r>
          </w:p>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防范措施</w:t>
            </w:r>
          </w:p>
        </w:tc>
        <w:tc>
          <w:tcPr>
            <w:tcW w:w="7679" w:type="dxa"/>
            <w:gridSpan w:val="4"/>
            <w:vAlign w:val="center"/>
          </w:tcPr>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1）大气环境风险防范</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制定消防条例、车间内严禁烟火、车间内放置灭火器等消防装置等风险防范措施，加强燃料风险隐患排查和风险防范管理，提高风险防范和应急处置能力。</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2）地表水环境风险防范</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加强厂区废水处理站的运行管理，完善检修和巡检制度，减少“跑、冒、滴、漏”，发现问题可及时发现并采取措施。</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3）地下水环境风险防范</w:t>
            </w:r>
          </w:p>
          <w:p>
            <w:pPr>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加强风险源事故风险防范，按照地下水污染防治措施采取“源头控制、分区防渗”等风险防范措施，进一步减轻风险事故对地下水环境的影响。</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本项目在采取环评要求的防范措施和应急处置措施后，环境风险事故影响范围主要集中于厂区，环境风险在可接受范围之内。</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）储存、使用过程的风险控制措施</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燃料库</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锅炉房</w:t>
            </w:r>
            <w:r>
              <w:rPr>
                <w:rFonts w:hint="default" w:ascii="Times New Roman" w:hAnsi="Times New Roman" w:eastAsia="宋体" w:cs="Times New Roman"/>
                <w:color w:val="auto"/>
                <w:sz w:val="24"/>
                <w:highlight w:val="none"/>
              </w:rPr>
              <w:t>、灰渣间严禁吸烟和使用明火，防止火源进入；设置明显标志；安全设施、消防器材齐备；</w:t>
            </w:r>
            <w:r>
              <w:rPr>
                <w:rFonts w:hint="default" w:ascii="Times New Roman" w:hAnsi="Times New Roman" w:eastAsia="宋体" w:cs="Times New Roman"/>
                <w:color w:val="auto"/>
                <w:sz w:val="24"/>
                <w:highlight w:val="none"/>
                <w:lang w:eastAsia="zh-CN"/>
              </w:rPr>
              <w:t>燃料库</w:t>
            </w:r>
            <w:r>
              <w:rPr>
                <w:rFonts w:hint="default" w:ascii="Times New Roman" w:hAnsi="Times New Roman" w:eastAsia="宋体" w:cs="Times New Roman"/>
                <w:color w:val="auto"/>
                <w:sz w:val="24"/>
                <w:highlight w:val="none"/>
              </w:rPr>
              <w:t>设置温度报警器；制定各种操作规范，加强监督管理，严格安全、环保检查制度，避免环境事件的发生。</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）风险防范措施</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燃料库</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锅炉房</w:t>
            </w:r>
            <w:r>
              <w:rPr>
                <w:rFonts w:hint="default" w:ascii="Times New Roman" w:hAnsi="Times New Roman" w:eastAsia="宋体" w:cs="Times New Roman"/>
                <w:color w:val="auto"/>
                <w:sz w:val="24"/>
                <w:highlight w:val="none"/>
              </w:rPr>
              <w:t>、灰渣间处设置灭火器等灭火设施；在强化安全、环保教育，提高安全、环保意识的同时，企业保证预警、监控设施到位。配备救护设备；危险作业增设监护人员并为其配备通讯、救援等设备；按照国家、地方和相关部门要求，编制突发环境事件应急预案；企业根据实际情况，不断充实和完善应急预案的各项措施，并定期组织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dxa"/>
            <w:vAlign w:val="center"/>
          </w:tcPr>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其他环境</w:t>
            </w:r>
          </w:p>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管理要求</w:t>
            </w:r>
          </w:p>
        </w:tc>
        <w:tc>
          <w:tcPr>
            <w:tcW w:w="7679"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1）“三同时”制度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保护管理条例》，建设项目需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2）排污许可制度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建设单位应当在技改项目投入生产或使用并产生实际排污行为之前登录全国排污许可证管理信息平台，依法按照排污许可证申请与核发技术规范的要求向生态环境主管部门申请排污许可证管理。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3）环保台账制度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内需完善记录制度和档案保存制度，有利于环境管理质量的追踪和持续改进。记录和台账包括设施运行和维护记录、废物进出台账、废水、废气污染物监测台账、所有原辅材料使用台账、突发性事件的处理、调查记录等，妥善保存所有记录、台账及污染物排放监测资料、环境管理档案资料等。</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4）报告制度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应定期向当地政府环保部门报告污染治理设施运行情况、污染物排放情况以及污染事故、污染纠纷等情况，便于环保部门和企业管理人员及时了解企业污染动态，利于采取相应的对策措施。若企业排污情况发生重大变化、污染治理设施改变或企业生产工艺发生重大改变等都必须按《建设项目环境保护管理条例》等文件要求，向当地环保部门申报，并请有审批权限的环保部门审批。企业产量和生产原辅料发生变化也应及时向环保部门报告。</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5）污染治理设施的管理、监控制度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成后，必须确保污染治理设施长期、稳定、有效地运行，不得擅自拆除或者闲置尾气处理装置和污水治理设施等，不得故意不正常使用污染治理设施。污染治理设施的管理必须与生产经营活动一起纳入到公司日常管理工作的范畴，落实责任人、操作人员、维修人员、运行经费、设备的备品备件和其他原辅材料。同时要建立健全岗位责任制、制定正确的操作规程、建立管理台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6）固体废物环境保护制度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明确建设单位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7）自行监测制度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该项目排污特点和实际情况，项目正常运营过程中，应对公司“三废”治理设施运转情况进行定期监测。监测内容包括：废气处理设施的运行情况、废气有组织及无组织排放的达标情况和噪声排放的达标情况。以技术可靠性和测试权威性为前提，建设单位可以委托有监测能力和资质的环境监测机构进行定期监测。具体监测因子和监测频次详见表四主要环境影响和保护措施章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8）污染源排放口规范化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污染源排放口应规范设置，应符合国家、省、市有关规定，并通过主管环保部门认证和验收。厂区“三废”及固体废物堆放处应设置明显的环保图形标志，污染物排放口的环保图形标志牌应设置在靠近采样点的醒目处。项目建成后，有组织废气排气筒应按照《环境保护图形标志—排放口</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 15562.1-1995）中的相关要求设置排放源图形标识，并规范设置永久采样孔、采样测试平台。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厂区的污水排放口、废气排放口、噪声排放源、固体废物贮存处置场应设置环境保护图形标志，图形符号分为提示图形和警告图形符号两种，分别按GB15562.1-1995、GB15562.2-1995执行。环境保护图形符号见表5-1，环境保护图形标志的形状及颜色见表5-2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表5-1  本项目环境保护图形符号表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677"/>
              <w:gridCol w:w="1802"/>
              <w:gridCol w:w="1677"/>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87"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序号</w:t>
                  </w:r>
                </w:p>
              </w:tc>
              <w:tc>
                <w:tcPr>
                  <w:tcW w:w="1125"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提示图形符号</w:t>
                  </w:r>
                </w:p>
              </w:tc>
              <w:tc>
                <w:tcPr>
                  <w:tcW w:w="1209"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警告图形符号</w:t>
                  </w:r>
                </w:p>
              </w:tc>
              <w:tc>
                <w:tcPr>
                  <w:tcW w:w="1125"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名称</w:t>
                  </w:r>
                </w:p>
              </w:tc>
              <w:tc>
                <w:tcPr>
                  <w:tcW w:w="1154"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87"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1</w:t>
                  </w:r>
                </w:p>
              </w:tc>
              <w:tc>
                <w:tcPr>
                  <w:tcW w:w="1125"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smallCaps/>
                      <w:color w:val="auto"/>
                      <w:highlight w:val="none"/>
                    </w:rPr>
                    <w:drawing>
                      <wp:inline distT="0" distB="0" distL="114300" distR="114300">
                        <wp:extent cx="857250" cy="857250"/>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6"/>
                                <a:stretch>
                                  <a:fillRect/>
                                </a:stretch>
                              </pic:blipFill>
                              <pic:spPr>
                                <a:xfrm>
                                  <a:off x="0" y="0"/>
                                  <a:ext cx="857250" cy="857250"/>
                                </a:xfrm>
                                <a:prstGeom prst="rect">
                                  <a:avLst/>
                                </a:prstGeom>
                                <a:noFill/>
                                <a:ln>
                                  <a:noFill/>
                                </a:ln>
                              </pic:spPr>
                            </pic:pic>
                          </a:graphicData>
                        </a:graphic>
                      </wp:inline>
                    </w:drawing>
                  </w:r>
                </w:p>
              </w:tc>
              <w:tc>
                <w:tcPr>
                  <w:tcW w:w="1209"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smallCaps/>
                      <w:color w:val="auto"/>
                      <w:highlight w:val="none"/>
                    </w:rPr>
                    <w:drawing>
                      <wp:inline distT="0" distB="0" distL="114300" distR="114300">
                        <wp:extent cx="962660" cy="857250"/>
                        <wp:effectExtent l="0" t="0" r="889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962660" cy="857250"/>
                                </a:xfrm>
                                <a:prstGeom prst="rect">
                                  <a:avLst/>
                                </a:prstGeom>
                                <a:noFill/>
                                <a:ln>
                                  <a:noFill/>
                                </a:ln>
                              </pic:spPr>
                            </pic:pic>
                          </a:graphicData>
                        </a:graphic>
                      </wp:inline>
                    </w:drawing>
                  </w:r>
                </w:p>
              </w:tc>
              <w:tc>
                <w:tcPr>
                  <w:tcW w:w="1125"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废气排放口</w:t>
                  </w:r>
                </w:p>
              </w:tc>
              <w:tc>
                <w:tcPr>
                  <w:tcW w:w="1154"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87"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2</w:t>
                  </w:r>
                </w:p>
              </w:tc>
              <w:tc>
                <w:tcPr>
                  <w:tcW w:w="1125"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smallCaps/>
                      <w:color w:val="auto"/>
                      <w:highlight w:val="none"/>
                    </w:rPr>
                    <w:drawing>
                      <wp:inline distT="0" distB="0" distL="114300" distR="114300">
                        <wp:extent cx="857250" cy="85725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857250" cy="857250"/>
                                </a:xfrm>
                                <a:prstGeom prst="rect">
                                  <a:avLst/>
                                </a:prstGeom>
                                <a:noFill/>
                                <a:ln>
                                  <a:noFill/>
                                </a:ln>
                              </pic:spPr>
                            </pic:pic>
                          </a:graphicData>
                        </a:graphic>
                      </wp:inline>
                    </w:drawing>
                  </w:r>
                </w:p>
              </w:tc>
              <w:tc>
                <w:tcPr>
                  <w:tcW w:w="1209"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smallCaps/>
                      <w:color w:val="auto"/>
                      <w:highlight w:val="none"/>
                    </w:rPr>
                    <w:drawing>
                      <wp:inline distT="0" distB="0" distL="114300" distR="114300">
                        <wp:extent cx="963295" cy="857250"/>
                        <wp:effectExtent l="0" t="0" r="825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963295" cy="857250"/>
                                </a:xfrm>
                                <a:prstGeom prst="rect">
                                  <a:avLst/>
                                </a:prstGeom>
                                <a:noFill/>
                                <a:ln>
                                  <a:noFill/>
                                </a:ln>
                              </pic:spPr>
                            </pic:pic>
                          </a:graphicData>
                        </a:graphic>
                      </wp:inline>
                    </w:drawing>
                  </w:r>
                </w:p>
              </w:tc>
              <w:tc>
                <w:tcPr>
                  <w:tcW w:w="1125"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一般固体废物</w:t>
                  </w:r>
                </w:p>
              </w:tc>
              <w:tc>
                <w:tcPr>
                  <w:tcW w:w="1154"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87"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spacing w:val="-2"/>
                      <w:highlight w:val="none"/>
                    </w:rPr>
                    <w:t>3</w:t>
                  </w:r>
                </w:p>
              </w:tc>
              <w:tc>
                <w:tcPr>
                  <w:tcW w:w="1125"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drawing>
                      <wp:inline distT="0" distB="0" distL="114300" distR="114300">
                        <wp:extent cx="857250" cy="857250"/>
                        <wp:effectExtent l="0" t="0" r="0" b="0"/>
                        <wp:docPr id="11" name="图片 7"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mark_3"/>
                                <pic:cNvPicPr>
                                  <a:picLocks noChangeAspect="1"/>
                                </pic:cNvPicPr>
                              </pic:nvPicPr>
                              <pic:blipFill>
                                <a:blip r:embed="rId20"/>
                                <a:stretch>
                                  <a:fillRect/>
                                </a:stretch>
                              </pic:blipFill>
                              <pic:spPr>
                                <a:xfrm>
                                  <a:off x="0" y="0"/>
                                  <a:ext cx="857250" cy="857250"/>
                                </a:xfrm>
                                <a:prstGeom prst="rect">
                                  <a:avLst/>
                                </a:prstGeom>
                                <a:noFill/>
                                <a:ln>
                                  <a:noFill/>
                                </a:ln>
                              </pic:spPr>
                            </pic:pic>
                          </a:graphicData>
                        </a:graphic>
                      </wp:inline>
                    </w:drawing>
                  </w:r>
                </w:p>
              </w:tc>
              <w:tc>
                <w:tcPr>
                  <w:tcW w:w="1209"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drawing>
                      <wp:inline distT="0" distB="0" distL="114300" distR="114300">
                        <wp:extent cx="962025" cy="857250"/>
                        <wp:effectExtent l="0" t="0" r="9525" b="0"/>
                        <wp:docPr id="12" name="图片 8"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mark_j3"/>
                                <pic:cNvPicPr>
                                  <a:picLocks noChangeAspect="1"/>
                                </pic:cNvPicPr>
                              </pic:nvPicPr>
                              <pic:blipFill>
                                <a:blip r:embed="rId21"/>
                                <a:stretch>
                                  <a:fillRect/>
                                </a:stretch>
                              </pic:blipFill>
                              <pic:spPr>
                                <a:xfrm>
                                  <a:off x="0" y="0"/>
                                  <a:ext cx="962025" cy="857250"/>
                                </a:xfrm>
                                <a:prstGeom prst="rect">
                                  <a:avLst/>
                                </a:prstGeom>
                                <a:noFill/>
                                <a:ln>
                                  <a:noFill/>
                                </a:ln>
                              </pic:spPr>
                            </pic:pic>
                          </a:graphicData>
                        </a:graphic>
                      </wp:inline>
                    </w:drawing>
                  </w:r>
                </w:p>
              </w:tc>
              <w:tc>
                <w:tcPr>
                  <w:tcW w:w="1125"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噪声排放源</w:t>
                  </w:r>
                </w:p>
              </w:tc>
              <w:tc>
                <w:tcPr>
                  <w:tcW w:w="1154"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表示噪声向</w:t>
                  </w:r>
                </w:p>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外环境排放</w:t>
                  </w:r>
                </w:p>
              </w:tc>
            </w:tr>
          </w:tbl>
          <w:p>
            <w:pPr>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表5-2  环境保护图形标志的形状及颜色表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863"/>
              <w:gridCol w:w="1863"/>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标志名称</w:t>
                  </w:r>
                </w:p>
              </w:tc>
              <w:tc>
                <w:tcPr>
                  <w:tcW w:w="1250"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形状</w:t>
                  </w:r>
                </w:p>
              </w:tc>
              <w:tc>
                <w:tcPr>
                  <w:tcW w:w="1250"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背景颜色</w:t>
                  </w:r>
                </w:p>
              </w:tc>
              <w:tc>
                <w:tcPr>
                  <w:tcW w:w="1250" w:type="pct"/>
                  <w:noWrap w:val="0"/>
                  <w:vAlign w:val="center"/>
                </w:tcPr>
                <w:p>
                  <w:pPr>
                    <w:spacing w:line="276" w:lineRule="auto"/>
                    <w:jc w:val="center"/>
                    <w:rPr>
                      <w:rFonts w:hint="default" w:ascii="Times New Roman" w:hAnsi="Times New Roman" w:eastAsia="宋体" w:cs="Times New Roman"/>
                      <w:b/>
                      <w:color w:val="auto"/>
                      <w:spacing w:val="-2"/>
                      <w:highlight w:val="none"/>
                    </w:rPr>
                  </w:pPr>
                  <w:r>
                    <w:rPr>
                      <w:rFonts w:hint="default" w:ascii="Times New Roman" w:hAnsi="Times New Roman" w:eastAsia="宋体" w:cs="Times New Roman"/>
                      <w:b/>
                      <w:color w:val="auto"/>
                      <w:highlight w:val="none"/>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警告标志</w:t>
                  </w:r>
                </w:p>
              </w:tc>
              <w:tc>
                <w:tcPr>
                  <w:tcW w:w="1250"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三角形边框</w:t>
                  </w:r>
                </w:p>
              </w:tc>
              <w:tc>
                <w:tcPr>
                  <w:tcW w:w="1250"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黄色</w:t>
                  </w:r>
                </w:p>
              </w:tc>
              <w:tc>
                <w:tcPr>
                  <w:tcW w:w="1250"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提示标志</w:t>
                  </w:r>
                </w:p>
              </w:tc>
              <w:tc>
                <w:tcPr>
                  <w:tcW w:w="1250"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正方形边框</w:t>
                  </w:r>
                </w:p>
              </w:tc>
              <w:tc>
                <w:tcPr>
                  <w:tcW w:w="1250"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绿色</w:t>
                  </w:r>
                </w:p>
              </w:tc>
              <w:tc>
                <w:tcPr>
                  <w:tcW w:w="1250" w:type="pct"/>
                  <w:noWrap w:val="0"/>
                  <w:vAlign w:val="center"/>
                </w:tcPr>
                <w:p>
                  <w:pPr>
                    <w:spacing w:line="276" w:lineRule="auto"/>
                    <w:jc w:val="center"/>
                    <w:rPr>
                      <w:rFonts w:hint="default" w:ascii="Times New Roman" w:hAnsi="Times New Roman" w:eastAsia="宋体" w:cs="Times New Roman"/>
                      <w:color w:val="auto"/>
                      <w:spacing w:val="-2"/>
                      <w:highlight w:val="none"/>
                    </w:rPr>
                  </w:pPr>
                  <w:r>
                    <w:rPr>
                      <w:rFonts w:hint="default" w:ascii="Times New Roman" w:hAnsi="Times New Roman" w:eastAsia="宋体" w:cs="Times New Roman"/>
                      <w:color w:val="auto"/>
                      <w:highlight w:val="none"/>
                    </w:rPr>
                    <w:t>白色</w:t>
                  </w:r>
                </w:p>
              </w:tc>
            </w:tr>
          </w:tbl>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w:t>
            </w:r>
          </w:p>
        </w:tc>
      </w:tr>
    </w:tbl>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sectPr>
          <w:pgSz w:w="11906" w:h="16838"/>
          <w:pgMar w:top="1440" w:right="1463" w:bottom="1440" w:left="1463" w:header="851" w:footer="992" w:gutter="0"/>
          <w:cols w:space="425" w:num="1"/>
          <w:docGrid w:type="lines" w:linePitch="312" w:charSpace="0"/>
        </w:sectPr>
      </w:pPr>
    </w:p>
    <w:p>
      <w:pPr>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六、结论</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vAlign w:val="center"/>
          </w:tcPr>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项目建设符合国家和地方的相关政策，厂址选择符合当地大气、噪声功能区划的要求，在各项污染防治措施落实后，污染物均能达标排放。因此，该项目在采取相应的环保措施之后，从环保角度讲本项目建设是可行的。</w:t>
            </w: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p>
            <w:pPr>
              <w:jc w:val="center"/>
              <w:rPr>
                <w:rFonts w:hint="default" w:ascii="Times New Roman" w:hAnsi="Times New Roman" w:eastAsia="宋体" w:cs="Times New Roman"/>
                <w:color w:val="auto"/>
                <w:sz w:val="24"/>
                <w:highlight w:val="none"/>
              </w:rPr>
            </w:pPr>
          </w:p>
        </w:tc>
      </w:tr>
    </w:tbl>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sectPr>
          <w:pgSz w:w="11906" w:h="16838"/>
          <w:pgMar w:top="1440" w:right="1463" w:bottom="1440" w:left="1463" w:header="851" w:footer="992" w:gutter="0"/>
          <w:cols w:space="425" w:num="1"/>
          <w:docGrid w:type="lines" w:linePitch="312" w:charSpace="0"/>
        </w:sectPr>
      </w:pPr>
    </w:p>
    <w:p>
      <w:pPr>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附表      建设项目污染物排放量汇总表</w:t>
      </w:r>
    </w:p>
    <w:tbl>
      <w:tblPr>
        <w:tblStyle w:val="23"/>
        <w:tblW w:w="14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582"/>
        <w:gridCol w:w="1582"/>
        <w:gridCol w:w="1582"/>
        <w:gridCol w:w="1582"/>
        <w:gridCol w:w="1582"/>
        <w:gridCol w:w="1582"/>
        <w:gridCol w:w="1582"/>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1580" w:type="dxa"/>
            <w:vAlign w:val="center"/>
          </w:tcPr>
          <w:p>
            <w:pPr>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分类项目</w:t>
            </w:r>
          </w:p>
        </w:tc>
        <w:tc>
          <w:tcPr>
            <w:tcW w:w="158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污染物名称</w:t>
            </w:r>
          </w:p>
        </w:tc>
        <w:tc>
          <w:tcPr>
            <w:tcW w:w="158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现有工程排放量</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固体废物产生量）①</w:t>
            </w:r>
          </w:p>
        </w:tc>
        <w:tc>
          <w:tcPr>
            <w:tcW w:w="158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现有工程许可排放量</w:t>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 2 \* GB3 \* MERGEFORMAT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②</w:t>
            </w:r>
            <w:r>
              <w:rPr>
                <w:rFonts w:hint="default" w:ascii="Times New Roman" w:hAnsi="Times New Roman" w:eastAsia="宋体" w:cs="Times New Roman"/>
                <w:b/>
                <w:bCs/>
                <w:color w:val="auto"/>
                <w:sz w:val="24"/>
                <w:szCs w:val="24"/>
                <w:highlight w:val="none"/>
              </w:rPr>
              <w:fldChar w:fldCharType="end"/>
            </w:r>
          </w:p>
        </w:tc>
        <w:tc>
          <w:tcPr>
            <w:tcW w:w="158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在建工程排放量</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固体废物产生量）</w:t>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 3 \* GB3 \* MERGEFORMAT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③</w:t>
            </w:r>
            <w:r>
              <w:rPr>
                <w:rFonts w:hint="default" w:ascii="Times New Roman" w:hAnsi="Times New Roman" w:eastAsia="宋体" w:cs="Times New Roman"/>
                <w:b/>
                <w:bCs/>
                <w:color w:val="auto"/>
                <w:sz w:val="24"/>
                <w:szCs w:val="24"/>
                <w:highlight w:val="none"/>
              </w:rPr>
              <w:fldChar w:fldCharType="end"/>
            </w:r>
          </w:p>
        </w:tc>
        <w:tc>
          <w:tcPr>
            <w:tcW w:w="158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本项目排放量</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固体废物产生量）</w:t>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 4 \* GB3 \* MERGEFORMAT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④</w:t>
            </w:r>
            <w:r>
              <w:rPr>
                <w:rFonts w:hint="default" w:ascii="Times New Roman" w:hAnsi="Times New Roman" w:eastAsia="宋体" w:cs="Times New Roman"/>
                <w:b/>
                <w:bCs/>
                <w:color w:val="auto"/>
                <w:sz w:val="24"/>
                <w:szCs w:val="24"/>
                <w:highlight w:val="none"/>
              </w:rPr>
              <w:fldChar w:fldCharType="end"/>
            </w:r>
          </w:p>
        </w:tc>
        <w:tc>
          <w:tcPr>
            <w:tcW w:w="158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以新带老削减量</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新建项目不填）</w:t>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 5 \* GB3 \* MERGEFORMAT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⑤</w:t>
            </w:r>
            <w:r>
              <w:rPr>
                <w:rFonts w:hint="default" w:ascii="Times New Roman" w:hAnsi="Times New Roman" w:eastAsia="宋体" w:cs="Times New Roman"/>
                <w:b/>
                <w:bCs/>
                <w:color w:val="auto"/>
                <w:sz w:val="24"/>
                <w:szCs w:val="24"/>
                <w:highlight w:val="none"/>
              </w:rPr>
              <w:fldChar w:fldCharType="end"/>
            </w:r>
          </w:p>
        </w:tc>
        <w:tc>
          <w:tcPr>
            <w:tcW w:w="158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本项目建成后全厂排放量</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固体废物产生量）</w:t>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 6 \* GB3 \* MERGEFORMAT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⑥</w:t>
            </w:r>
            <w:r>
              <w:rPr>
                <w:rFonts w:hint="default" w:ascii="Times New Roman" w:hAnsi="Times New Roman" w:eastAsia="宋体" w:cs="Times New Roman"/>
                <w:b/>
                <w:bCs/>
                <w:color w:val="auto"/>
                <w:sz w:val="24"/>
                <w:szCs w:val="24"/>
                <w:highlight w:val="none"/>
              </w:rPr>
              <w:fldChar w:fldCharType="end"/>
            </w:r>
          </w:p>
        </w:tc>
        <w:tc>
          <w:tcPr>
            <w:tcW w:w="1582" w:type="dxa"/>
            <w:vAlign w:val="center"/>
          </w:tcPr>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变化量</w:t>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 7 \* GB3 \* MERGEFORMAT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⑦</w:t>
            </w:r>
            <w:r>
              <w:rPr>
                <w:rFonts w:hint="default" w:ascii="Times New Roman" w:hAnsi="Times New Roman" w:eastAsia="宋体" w:cs="Times New Roman"/>
                <w:b/>
                <w:bCs/>
                <w:color w:val="auto"/>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80" w:type="dxa"/>
            <w:vMerge w:val="restart"/>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废气</w:t>
            </w:r>
          </w:p>
        </w:tc>
        <w:tc>
          <w:tcPr>
            <w:tcW w:w="1582" w:type="dxa"/>
            <w:vAlign w:val="center"/>
          </w:tcPr>
          <w:p>
            <w:pPr>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颗粒物</w:t>
            </w:r>
          </w:p>
        </w:tc>
        <w:tc>
          <w:tcPr>
            <w:tcW w:w="1582"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0.12</w:t>
            </w:r>
            <w:r>
              <w:rPr>
                <w:rFonts w:hint="default" w:ascii="Times New Roman" w:hAnsi="Times New Roman" w:eastAsia="宋体" w:cs="Times New Roman"/>
                <w:color w:val="auto"/>
                <w:kern w:val="0"/>
                <w:sz w:val="24"/>
                <w:szCs w:val="24"/>
                <w:lang w:val="en-US" w:eastAsia="zh-CN" w:bidi="ar"/>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0.021t/a</w:t>
            </w:r>
          </w:p>
        </w:tc>
        <w:tc>
          <w:tcPr>
            <w:tcW w:w="1582"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0.12</w:t>
            </w:r>
            <w:r>
              <w:rPr>
                <w:rFonts w:hint="default" w:ascii="Times New Roman" w:hAnsi="Times New Roman" w:eastAsia="宋体" w:cs="Times New Roman"/>
                <w:color w:val="auto"/>
                <w:kern w:val="0"/>
                <w:sz w:val="24"/>
                <w:szCs w:val="24"/>
                <w:lang w:val="en-US" w:eastAsia="zh-CN" w:bidi="ar"/>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0.021t/a</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bidi="ar"/>
              </w:rPr>
              <w:t>-0.099t/a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80" w:type="dxa"/>
            <w:vMerge w:val="continue"/>
            <w:vAlign w:val="center"/>
          </w:tcPr>
          <w:p>
            <w:pPr>
              <w:jc w:val="center"/>
              <w:rPr>
                <w:rFonts w:hint="default" w:ascii="Times New Roman" w:hAnsi="Times New Roman" w:eastAsia="宋体" w:cs="Times New Roman"/>
                <w:color w:val="auto"/>
                <w:sz w:val="24"/>
                <w:szCs w:val="24"/>
                <w:highlight w:val="none"/>
              </w:rPr>
            </w:pPr>
          </w:p>
        </w:tc>
        <w:tc>
          <w:tcPr>
            <w:tcW w:w="1582" w:type="dxa"/>
            <w:vAlign w:val="center"/>
          </w:tcPr>
          <w:p>
            <w:pPr>
              <w:pStyle w:val="7"/>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二氧化硫</w:t>
            </w:r>
          </w:p>
        </w:tc>
        <w:tc>
          <w:tcPr>
            <w:tcW w:w="1582"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0.81</w:t>
            </w:r>
            <w:r>
              <w:rPr>
                <w:rFonts w:hint="default" w:ascii="Times New Roman" w:hAnsi="Times New Roman" w:eastAsia="宋体" w:cs="Times New Roman"/>
                <w:color w:val="auto"/>
                <w:kern w:val="0"/>
                <w:sz w:val="24"/>
                <w:szCs w:val="24"/>
                <w:lang w:val="en-US" w:eastAsia="zh-CN" w:bidi="ar"/>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0.39t/a</w:t>
            </w:r>
          </w:p>
        </w:tc>
        <w:tc>
          <w:tcPr>
            <w:tcW w:w="1582"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0.81</w:t>
            </w:r>
            <w:r>
              <w:rPr>
                <w:rFonts w:hint="default" w:ascii="Times New Roman" w:hAnsi="Times New Roman" w:eastAsia="宋体" w:cs="Times New Roman"/>
                <w:color w:val="auto"/>
                <w:kern w:val="0"/>
                <w:sz w:val="24"/>
                <w:szCs w:val="24"/>
                <w:lang w:val="en-US" w:eastAsia="zh-CN" w:bidi="ar"/>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0.39t/a</w:t>
            </w:r>
          </w:p>
        </w:tc>
        <w:tc>
          <w:tcPr>
            <w:tcW w:w="1582" w:type="dxa"/>
            <w:vAlign w:val="center"/>
          </w:tcPr>
          <w:p>
            <w:pPr>
              <w:pStyle w:val="7"/>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-0.42</w:t>
            </w:r>
            <w:r>
              <w:rPr>
                <w:rFonts w:hint="default" w:ascii="Times New Roman" w:hAnsi="Times New Roman" w:eastAsia="宋体" w:cs="Times New Roman"/>
                <w:color w:val="auto"/>
                <w:kern w:val="0"/>
                <w:sz w:val="24"/>
                <w:szCs w:val="24"/>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80" w:type="dxa"/>
            <w:vMerge w:val="continue"/>
            <w:vAlign w:val="center"/>
          </w:tcPr>
          <w:p>
            <w:pPr>
              <w:jc w:val="center"/>
              <w:rPr>
                <w:rFonts w:hint="default" w:ascii="Times New Roman" w:hAnsi="Times New Roman" w:eastAsia="宋体" w:cs="Times New Roman"/>
                <w:color w:val="auto"/>
                <w:sz w:val="24"/>
                <w:szCs w:val="24"/>
                <w:highlight w:val="none"/>
              </w:rPr>
            </w:pPr>
          </w:p>
        </w:tc>
        <w:tc>
          <w:tcPr>
            <w:tcW w:w="1582" w:type="dxa"/>
            <w:vAlign w:val="center"/>
          </w:tcPr>
          <w:p>
            <w:pPr>
              <w:pStyle w:val="7"/>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氮氧化物</w:t>
            </w:r>
          </w:p>
        </w:tc>
        <w:tc>
          <w:tcPr>
            <w:tcW w:w="1582"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2.12</w:t>
            </w:r>
            <w:r>
              <w:rPr>
                <w:rFonts w:hint="default" w:ascii="Times New Roman" w:hAnsi="Times New Roman" w:eastAsia="宋体" w:cs="Times New Roman"/>
                <w:color w:val="auto"/>
                <w:kern w:val="0"/>
                <w:sz w:val="24"/>
                <w:szCs w:val="24"/>
                <w:lang w:val="en-US" w:eastAsia="zh-CN" w:bidi="ar"/>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1.67t/a</w:t>
            </w:r>
          </w:p>
        </w:tc>
        <w:tc>
          <w:tcPr>
            <w:tcW w:w="1582"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2.12</w:t>
            </w:r>
            <w:r>
              <w:rPr>
                <w:rFonts w:hint="default" w:ascii="Times New Roman" w:hAnsi="Times New Roman" w:eastAsia="宋体" w:cs="Times New Roman"/>
                <w:color w:val="auto"/>
                <w:kern w:val="0"/>
                <w:sz w:val="24"/>
                <w:szCs w:val="24"/>
                <w:lang w:val="en-US" w:eastAsia="zh-CN" w:bidi="ar"/>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1.67t/a</w:t>
            </w:r>
          </w:p>
        </w:tc>
        <w:tc>
          <w:tcPr>
            <w:tcW w:w="1582" w:type="dxa"/>
            <w:vAlign w:val="center"/>
          </w:tcPr>
          <w:p>
            <w:pPr>
              <w:pStyle w:val="7"/>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-0.45</w:t>
            </w:r>
            <w:r>
              <w:rPr>
                <w:rFonts w:hint="default" w:ascii="Times New Roman" w:hAnsi="Times New Roman" w:eastAsia="宋体" w:cs="Times New Roman"/>
                <w:color w:val="auto"/>
                <w:kern w:val="0"/>
                <w:sz w:val="24"/>
                <w:szCs w:val="24"/>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580" w:type="dxa"/>
            <w:vMerge w:val="continue"/>
            <w:vAlign w:val="center"/>
          </w:tcPr>
          <w:p>
            <w:pPr>
              <w:jc w:val="center"/>
              <w:rPr>
                <w:rFonts w:hint="default" w:ascii="Times New Roman" w:hAnsi="Times New Roman" w:eastAsia="宋体" w:cs="Times New Roman"/>
                <w:color w:val="auto"/>
                <w:sz w:val="24"/>
                <w:szCs w:val="24"/>
                <w:highlight w:val="none"/>
              </w:rPr>
            </w:pPr>
          </w:p>
        </w:tc>
        <w:tc>
          <w:tcPr>
            <w:tcW w:w="1582" w:type="dxa"/>
            <w:vAlign w:val="center"/>
          </w:tcPr>
          <w:p>
            <w:pPr>
              <w:pStyle w:val="7"/>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汞及其化合物</w:t>
            </w:r>
          </w:p>
        </w:tc>
        <w:tc>
          <w:tcPr>
            <w:tcW w:w="1582"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0.00016</w:t>
            </w:r>
            <w:r>
              <w:rPr>
                <w:rFonts w:hint="default" w:ascii="Times New Roman" w:hAnsi="Times New Roman" w:eastAsia="宋体" w:cs="Times New Roman"/>
                <w:color w:val="auto"/>
                <w:kern w:val="0"/>
                <w:sz w:val="24"/>
                <w:szCs w:val="24"/>
                <w:lang w:val="en-US" w:eastAsia="zh-CN" w:bidi="ar"/>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0.000013t/a</w:t>
            </w:r>
          </w:p>
        </w:tc>
        <w:tc>
          <w:tcPr>
            <w:tcW w:w="1582"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0.00016</w:t>
            </w:r>
            <w:r>
              <w:rPr>
                <w:rFonts w:hint="default" w:ascii="Times New Roman" w:hAnsi="Times New Roman" w:eastAsia="宋体" w:cs="Times New Roman"/>
                <w:color w:val="auto"/>
                <w:kern w:val="0"/>
                <w:sz w:val="24"/>
                <w:szCs w:val="24"/>
                <w:lang w:val="en-US" w:eastAsia="zh-CN" w:bidi="ar"/>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0.000013t/a</w:t>
            </w:r>
          </w:p>
        </w:tc>
        <w:tc>
          <w:tcPr>
            <w:tcW w:w="1582" w:type="dxa"/>
            <w:vAlign w:val="center"/>
          </w:tcPr>
          <w:p>
            <w:pPr>
              <w:pStyle w:val="7"/>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-0.000003</w:t>
            </w:r>
            <w:r>
              <w:rPr>
                <w:rFonts w:hint="default" w:ascii="Times New Roman" w:hAnsi="Times New Roman" w:eastAsia="宋体" w:cs="Times New Roman"/>
                <w:color w:val="auto"/>
                <w:kern w:val="0"/>
                <w:sz w:val="24"/>
                <w:szCs w:val="24"/>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trPr>
        <w:tc>
          <w:tcPr>
            <w:tcW w:w="158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80" w:type="dxa"/>
            <w:vMerge w:val="restart"/>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一般工业固体废物</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炉渣</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120.5</w:t>
            </w:r>
            <w:r>
              <w:rPr>
                <w:rFonts w:hint="default" w:ascii="Times New Roman" w:hAnsi="Times New Roman" w:eastAsia="宋体" w:cs="Times New Roman"/>
                <w:color w:val="auto"/>
                <w:sz w:val="24"/>
                <w:szCs w:val="24"/>
                <w:highlight w:val="none"/>
              </w:rPr>
              <w:t>t/a</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216.4</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120.5</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216.4</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+95.9</w:t>
            </w:r>
            <w:r>
              <w:rPr>
                <w:rFonts w:hint="default" w:ascii="Times New Roman" w:hAnsi="Times New Roman" w:eastAsia="宋体" w:cs="Times New Roman"/>
                <w:color w:val="auto"/>
                <w:sz w:val="24"/>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80" w:type="dxa"/>
            <w:vMerge w:val="continue"/>
            <w:vAlign w:val="center"/>
          </w:tcPr>
          <w:p>
            <w:pPr>
              <w:jc w:val="center"/>
              <w:rPr>
                <w:rFonts w:hint="default" w:ascii="Times New Roman" w:hAnsi="Times New Roman" w:eastAsia="宋体" w:cs="Times New Roman"/>
                <w:color w:val="auto"/>
                <w:sz w:val="24"/>
                <w:szCs w:val="24"/>
                <w:highlight w:val="none"/>
              </w:rPr>
            </w:pPr>
          </w:p>
        </w:tc>
        <w:tc>
          <w:tcPr>
            <w:tcW w:w="1582" w:type="dxa"/>
            <w:vAlign w:val="center"/>
          </w:tcPr>
          <w:p>
            <w:pPr>
              <w:jc w:val="center"/>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sz w:val="24"/>
                <w:szCs w:val="24"/>
                <w:highlight w:val="none"/>
              </w:rPr>
              <w:t>除尘灰</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4.73</w:t>
            </w:r>
            <w:r>
              <w:rPr>
                <w:rFonts w:hint="default" w:ascii="Times New Roman" w:hAnsi="Times New Roman" w:eastAsia="宋体" w:cs="Times New Roman"/>
                <w:color w:val="auto"/>
                <w:sz w:val="24"/>
                <w:szCs w:val="24"/>
                <w:highlight w:val="none"/>
              </w:rPr>
              <w:t>t/a</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0.8</w:t>
            </w:r>
            <w:r>
              <w:rPr>
                <w:rFonts w:hint="default" w:ascii="Times New Roman" w:hAnsi="Times New Roman" w:eastAsia="宋体" w:cs="Times New Roman"/>
                <w:color w:val="auto"/>
                <w:sz w:val="24"/>
                <w:szCs w:val="24"/>
                <w:highlight w:val="none"/>
              </w:rPr>
              <w: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4.73</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0.8</w:t>
            </w:r>
            <w:r>
              <w:rPr>
                <w:rFonts w:hint="default" w:ascii="Times New Roman" w:hAnsi="Times New Roman" w:eastAsia="宋体" w:cs="Times New Roman"/>
                <w:color w:val="auto"/>
                <w:sz w:val="24"/>
                <w:szCs w:val="24"/>
                <w:highlight w:val="none"/>
              </w:rPr>
              <w: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-3.93</w:t>
            </w:r>
            <w:r>
              <w:rPr>
                <w:rFonts w:hint="default" w:ascii="Times New Roman" w:hAnsi="Times New Roman" w:eastAsia="宋体" w:cs="Times New Roman"/>
                <w:color w:val="auto"/>
                <w:sz w:val="24"/>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80" w:type="dxa"/>
            <w:vMerge w:val="continue"/>
            <w:vAlign w:val="center"/>
          </w:tcPr>
          <w:p>
            <w:pPr>
              <w:jc w:val="center"/>
              <w:rPr>
                <w:rFonts w:hint="default" w:ascii="Times New Roman" w:hAnsi="Times New Roman" w:eastAsia="宋体" w:cs="Times New Roman"/>
                <w:color w:val="auto"/>
                <w:sz w:val="24"/>
                <w:szCs w:val="24"/>
                <w:highlight w:val="none"/>
              </w:rPr>
            </w:pP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脱硫废渣</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9.08</w:t>
            </w:r>
            <w:r>
              <w:rPr>
                <w:rFonts w:hint="default" w:ascii="Times New Roman" w:hAnsi="Times New Roman" w:eastAsia="宋体" w:cs="Times New Roman"/>
                <w:color w:val="auto"/>
                <w:sz w:val="24"/>
                <w:szCs w:val="24"/>
                <w:highlight w:val="none"/>
              </w:rPr>
              <w:t>t/a</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4.39</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9.08</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4.39</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-4.69</w:t>
            </w:r>
            <w:r>
              <w:rPr>
                <w:rFonts w:hint="default" w:ascii="Times New Roman" w:hAnsi="Times New Roman" w:eastAsia="宋体" w:cs="Times New Roman"/>
                <w:color w:val="auto"/>
                <w:sz w:val="24"/>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80" w:type="dxa"/>
            <w:vMerge w:val="continue"/>
            <w:vAlign w:val="center"/>
          </w:tcPr>
          <w:p>
            <w:pPr>
              <w:jc w:val="center"/>
              <w:rPr>
                <w:rFonts w:hint="default" w:ascii="Times New Roman" w:hAnsi="Times New Roman" w:eastAsia="宋体" w:cs="Times New Roman"/>
                <w:color w:val="auto"/>
                <w:sz w:val="24"/>
                <w:szCs w:val="24"/>
                <w:highlight w:val="none"/>
              </w:rPr>
            </w:pP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废饱和树脂</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0.3</w:t>
            </w:r>
            <w:r>
              <w:rPr>
                <w:rFonts w:hint="default" w:ascii="Times New Roman" w:hAnsi="Times New Roman" w:eastAsia="宋体" w:cs="Times New Roman"/>
                <w:color w:val="auto"/>
                <w:sz w:val="24"/>
                <w:szCs w:val="24"/>
                <w:highlight w:val="none"/>
              </w:rPr>
              <w:t>t/a</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0.3</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0.3</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0.3</w:t>
            </w:r>
            <w:r>
              <w:rPr>
                <w:rFonts w:hint="default" w:ascii="Times New Roman" w:hAnsi="Times New Roman" w:eastAsia="宋体" w:cs="Times New Roman"/>
                <w:color w:val="auto"/>
                <w:sz w:val="24"/>
                <w:szCs w:val="24"/>
                <w:highlight w:val="none"/>
              </w:rPr>
              <w:t>t/a</w:t>
            </w:r>
          </w:p>
        </w:tc>
        <w:tc>
          <w:tcPr>
            <w:tcW w:w="1582" w:type="dxa"/>
            <w:vAlign w:val="center"/>
          </w:tcPr>
          <w:p>
            <w:pPr>
              <w:bidi w:val="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0</w:t>
            </w:r>
            <w:r>
              <w:rPr>
                <w:rFonts w:hint="default" w:ascii="Times New Roman" w:hAnsi="Times New Roman" w:eastAsia="宋体" w:cs="Times New Roman"/>
                <w:color w:val="auto"/>
                <w:sz w:val="24"/>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580"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58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bl>
    <w:p>
      <w:pPr>
        <w:rPr>
          <w:rFonts w:hint="default" w:ascii="Times New Roman" w:hAnsi="Times New Roman" w:eastAsia="宋体" w:cs="Times New Roman"/>
          <w:color w:val="auto"/>
          <w:highlight w:val="none"/>
        </w:rPr>
      </w:pPr>
    </w:p>
    <w:p>
      <w:pPr>
        <w:rPr>
          <w:rFonts w:hint="default" w:ascii="Times New Roman" w:hAnsi="Times New Roman" w:eastAsia="宋体" w:cs="Times New Roman"/>
          <w:b/>
          <w:bCs/>
          <w:color w:val="auto"/>
          <w:sz w:val="32"/>
          <w:szCs w:val="32"/>
          <w:lang w:val="en-US" w:eastAsia="zh-CN"/>
        </w:rPr>
        <w:sectPr>
          <w:pgSz w:w="16838" w:h="11906" w:orient="landscape"/>
          <w:pgMar w:top="1463" w:right="1440" w:bottom="1463" w:left="1440" w:header="851" w:footer="992" w:gutter="0"/>
          <w:cols w:space="425" w:num="1"/>
          <w:docGrid w:type="lines" w:linePitch="312" w:charSpace="0"/>
        </w:sectPr>
      </w:pPr>
    </w:p>
    <w:p>
      <w:pPr>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val="en-US" w:eastAsia="zh-CN"/>
        </w:rPr>
        <w:t>附图1</w:t>
      </w:r>
    </w:p>
    <w:p>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drawing>
          <wp:inline distT="0" distB="0" distL="114300" distR="114300">
            <wp:extent cx="8488680" cy="4608830"/>
            <wp:effectExtent l="0" t="0" r="0" b="8890"/>
            <wp:docPr id="7" name="图片 7" descr="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
                    <pic:cNvPicPr>
                      <a:picLocks noChangeAspect="1"/>
                    </pic:cNvPicPr>
                  </pic:nvPicPr>
                  <pic:blipFill>
                    <a:blip r:embed="rId22"/>
                    <a:stretch>
                      <a:fillRect/>
                    </a:stretch>
                  </pic:blipFill>
                  <pic:spPr>
                    <a:xfrm>
                      <a:off x="0" y="0"/>
                      <a:ext cx="8488680" cy="4608830"/>
                    </a:xfrm>
                    <a:prstGeom prst="rect">
                      <a:avLst/>
                    </a:prstGeom>
                  </pic:spPr>
                </pic:pic>
              </a:graphicData>
            </a:graphic>
          </wp:inline>
        </w:drawing>
      </w:r>
    </w:p>
    <w:p>
      <w:pPr>
        <w:jc w:val="center"/>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项目地理位置图</w:t>
      </w:r>
    </w:p>
    <w:p>
      <w:pPr>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val="en-US" w:eastAsia="zh-CN"/>
        </w:rPr>
        <w:t>附图2</w:t>
      </w:r>
    </w:p>
    <w:p>
      <w:pPr>
        <w:pStyle w:val="2"/>
        <w:rPr>
          <w:rFonts w:hint="default" w:ascii="Times New Roman" w:hAnsi="Times New Roman" w:eastAsia="宋体" w:cs="Times New Roman"/>
          <w:color w:val="auto"/>
          <w:lang w:val="en-US" w:eastAsia="zh-CN"/>
        </w:rPr>
      </w:pPr>
    </w:p>
    <w:p>
      <w:pPr>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val="en-US" w:eastAsia="zh-CN"/>
        </w:rPr>
        <w:t xml:space="preserve">       </w:t>
      </w:r>
      <w:r>
        <w:rPr>
          <w:rFonts w:hint="default" w:ascii="Times New Roman" w:hAnsi="Times New Roman" w:eastAsia="宋体" w:cs="Times New Roman"/>
          <w:b/>
          <w:bCs/>
          <w:color w:val="auto"/>
          <w:sz w:val="32"/>
          <w:szCs w:val="32"/>
          <w:lang w:val="en-US" w:eastAsia="zh-CN"/>
        </w:rPr>
        <w:drawing>
          <wp:inline distT="0" distB="0" distL="114300" distR="114300">
            <wp:extent cx="7858125" cy="4523740"/>
            <wp:effectExtent l="0" t="0" r="9525" b="10160"/>
            <wp:docPr id="9" name="图片 9" descr="166392830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3928309294"/>
                    <pic:cNvPicPr>
                      <a:picLocks noChangeAspect="1"/>
                    </pic:cNvPicPr>
                  </pic:nvPicPr>
                  <pic:blipFill>
                    <a:blip r:embed="rId23"/>
                    <a:stretch>
                      <a:fillRect/>
                    </a:stretch>
                  </pic:blipFill>
                  <pic:spPr>
                    <a:xfrm>
                      <a:off x="0" y="0"/>
                      <a:ext cx="7858125" cy="4523740"/>
                    </a:xfrm>
                    <a:prstGeom prst="rect">
                      <a:avLst/>
                    </a:prstGeom>
                  </pic:spPr>
                </pic:pic>
              </a:graphicData>
            </a:graphic>
          </wp:inline>
        </w:drawing>
      </w:r>
    </w:p>
    <w:p>
      <w:pPr>
        <w:jc w:val="center"/>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厂区平面布置图</w:t>
      </w:r>
    </w:p>
    <w:p>
      <w:pPr>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val="en-US" w:eastAsia="zh-CN"/>
        </w:rPr>
        <w:t>附图3</w:t>
      </w:r>
    </w:p>
    <w:p>
      <w:pPr>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bCs/>
          <w:color w:val="auto"/>
          <w:sz w:val="28"/>
          <w:szCs w:val="28"/>
          <w:lang w:val="en-US" w:eastAsia="zh-CN"/>
        </w:rPr>
        <w:t xml:space="preserve"> </w:t>
      </w:r>
      <w:r>
        <w:rPr>
          <w:rFonts w:hint="default" w:ascii="Times New Roman" w:hAnsi="Times New Roman" w:eastAsia="宋体" w:cs="Times New Roman"/>
          <w:b/>
          <w:color w:val="auto"/>
          <w:sz w:val="28"/>
          <w:szCs w:val="28"/>
          <w:highlight w:val="none"/>
        </w:rPr>
        <w:drawing>
          <wp:inline distT="0" distB="0" distL="114300" distR="114300">
            <wp:extent cx="8677275" cy="4746625"/>
            <wp:effectExtent l="0" t="0" r="9525" b="15875"/>
            <wp:docPr id="4" name="图片 4" descr="屏幕截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截图111"/>
                    <pic:cNvPicPr>
                      <a:picLocks noChangeAspect="1"/>
                    </pic:cNvPicPr>
                  </pic:nvPicPr>
                  <pic:blipFill>
                    <a:blip r:embed="rId24"/>
                    <a:stretch>
                      <a:fillRect/>
                    </a:stretch>
                  </pic:blipFill>
                  <pic:spPr>
                    <a:xfrm>
                      <a:off x="0" y="0"/>
                      <a:ext cx="8677275" cy="4746625"/>
                    </a:xfrm>
                    <a:prstGeom prst="rect">
                      <a:avLst/>
                    </a:prstGeom>
                  </pic:spPr>
                </pic:pic>
              </a:graphicData>
            </a:graphic>
          </wp:inline>
        </w:drawing>
      </w:r>
    </w:p>
    <w:p>
      <w:pPr>
        <w:jc w:val="center"/>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color w:val="auto"/>
          <w:sz w:val="28"/>
          <w:szCs w:val="28"/>
          <w:highlight w:val="none"/>
        </w:rPr>
        <w:t>环境质量现状</w:t>
      </w:r>
      <w:r>
        <w:rPr>
          <w:rFonts w:hint="default" w:ascii="Times New Roman" w:hAnsi="Times New Roman" w:eastAsia="宋体" w:cs="Times New Roman"/>
          <w:b/>
          <w:color w:val="auto"/>
          <w:sz w:val="28"/>
          <w:szCs w:val="28"/>
          <w:highlight w:val="none"/>
          <w:lang w:val="en-US" w:eastAsia="zh-CN"/>
        </w:rPr>
        <w:t>引用</w:t>
      </w:r>
      <w:r>
        <w:rPr>
          <w:rFonts w:hint="default" w:ascii="Times New Roman" w:hAnsi="Times New Roman" w:eastAsia="宋体" w:cs="Times New Roman"/>
          <w:b/>
          <w:color w:val="auto"/>
          <w:sz w:val="28"/>
          <w:szCs w:val="28"/>
          <w:highlight w:val="none"/>
        </w:rPr>
        <w:t>点</w:t>
      </w:r>
      <w:r>
        <w:rPr>
          <w:rFonts w:hint="default" w:ascii="Times New Roman" w:hAnsi="Times New Roman" w:eastAsia="宋体" w:cs="Times New Roman"/>
          <w:b/>
          <w:color w:val="auto"/>
          <w:sz w:val="28"/>
          <w:szCs w:val="28"/>
          <w:highlight w:val="none"/>
          <w:lang w:eastAsia="zh-CN"/>
        </w:rPr>
        <w:t>位</w:t>
      </w:r>
      <w:r>
        <w:rPr>
          <w:rFonts w:hint="default" w:ascii="Times New Roman" w:hAnsi="Times New Roman" w:eastAsia="宋体" w:cs="Times New Roman"/>
          <w:b/>
          <w:color w:val="auto"/>
          <w:sz w:val="28"/>
          <w:szCs w:val="28"/>
          <w:highlight w:val="none"/>
        </w:rPr>
        <w:t xml:space="preserve">图  </w:t>
      </w:r>
    </w:p>
    <w:p>
      <w:pPr>
        <w:pStyle w:val="28"/>
        <w:ind w:left="0" w:leftChars="0" w:firstLine="0" w:firstLineChars="0"/>
        <w:rPr>
          <w:rFonts w:hint="default" w:ascii="Times New Roman" w:hAnsi="Times New Roman" w:eastAsia="宋体" w:cs="Times New Roman"/>
          <w:b/>
          <w:bCs/>
          <w:color w:val="auto"/>
          <w:sz w:val="32"/>
          <w:szCs w:val="32"/>
          <w:highlight w:val="none"/>
          <w:lang w:val="en-US" w:eastAsia="zh-CN"/>
        </w:rPr>
      </w:pPr>
      <w:r>
        <w:rPr>
          <w:rFonts w:hint="default" w:ascii="Times New Roman" w:hAnsi="Times New Roman" w:eastAsia="宋体" w:cs="Times New Roman"/>
          <w:b/>
          <w:bCs/>
          <w:color w:val="auto"/>
          <w:sz w:val="32"/>
          <w:szCs w:val="32"/>
          <w:highlight w:val="none"/>
          <w:lang w:eastAsia="zh-CN"/>
        </w:rPr>
        <w:t>附图</w:t>
      </w:r>
      <w:r>
        <w:rPr>
          <w:rFonts w:hint="default" w:ascii="Times New Roman" w:hAnsi="Times New Roman" w:eastAsia="宋体" w:cs="Times New Roman"/>
          <w:b/>
          <w:bCs/>
          <w:color w:val="auto"/>
          <w:sz w:val="32"/>
          <w:szCs w:val="32"/>
          <w:highlight w:val="none"/>
          <w:lang w:val="en-US" w:eastAsia="zh-CN"/>
        </w:rPr>
        <w:t>4</w:t>
      </w:r>
    </w:p>
    <w:p>
      <w:pPr>
        <w:pStyle w:val="28"/>
        <w:ind w:left="0" w:lef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3101340</wp:posOffset>
                </wp:positionH>
                <wp:positionV relativeFrom="paragraph">
                  <wp:posOffset>710565</wp:posOffset>
                </wp:positionV>
                <wp:extent cx="2124710" cy="593090"/>
                <wp:effectExtent l="0" t="0" r="0" b="0"/>
                <wp:wrapNone/>
                <wp:docPr id="26" name="矩形 26"/>
                <wp:cNvGraphicFramePr/>
                <a:graphic xmlns:a="http://schemas.openxmlformats.org/drawingml/2006/main">
                  <a:graphicData uri="http://schemas.microsoft.com/office/word/2010/wordprocessingShape">
                    <wps:wsp>
                      <wps:cNvSpPr/>
                      <wps:spPr>
                        <a:xfrm>
                          <a:off x="0" y="0"/>
                          <a:ext cx="2124710" cy="593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FF0000"/>
                                <w:sz w:val="28"/>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乌拉山镇化肥厂卫生院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2pt;margin-top:55.95pt;height:46.7pt;width:167.3pt;z-index:251660288;v-text-anchor:middle;mso-width-relative:page;mso-height-relative:page;" filled="f" stroked="f" coordsize="21600,21600" o:gfxdata="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CizitgAAAALAQAADwAAAAAAAAABACAAAAAiAAAAZHJzL2Rvd25yZXYueG1sUEsBAhQAFAAA&#10;AAgAh07iQFjRvlFhAgAArwQAAA4AAAAAAAAAAQAgAAAAJwEAAGRycy9lMm9Eb2MueG1sUEsFBgAA&#10;AAAGAAYAWQEAAPoFAAAAAA==&#10;">
                <v:fill on="f" focussize="0,0"/>
                <v:stroke on="f" weight="1pt" miterlimit="8" joinstyle="miter"/>
                <v:imagedata o:title=""/>
                <o:lock v:ext="edit" aspectratio="f"/>
                <v:textbox>
                  <w:txbxContent>
                    <w:p>
                      <w:pPr>
                        <w:rPr>
                          <w:b/>
                          <w:bCs/>
                          <w:color w:val="FF0000"/>
                          <w:sz w:val="28"/>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乌拉山镇化肥厂卫生院</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6262370</wp:posOffset>
                </wp:positionH>
                <wp:positionV relativeFrom="paragraph">
                  <wp:posOffset>2413000</wp:posOffset>
                </wp:positionV>
                <wp:extent cx="1136015" cy="395605"/>
                <wp:effectExtent l="194310" t="6350" r="22225" b="302895"/>
                <wp:wrapNone/>
                <wp:docPr id="29" name="矩形标注 29"/>
                <wp:cNvGraphicFramePr/>
                <a:graphic xmlns:a="http://schemas.openxmlformats.org/drawingml/2006/main">
                  <a:graphicData uri="http://schemas.microsoft.com/office/word/2010/wordprocessingShape">
                    <wps:wsp>
                      <wps:cNvSpPr/>
                      <wps:spPr>
                        <a:xfrm>
                          <a:off x="7506335" y="4081145"/>
                          <a:ext cx="1136015" cy="395605"/>
                        </a:xfrm>
                        <a:prstGeom prst="wedgeRectCallout">
                          <a:avLst>
                            <a:gd name="adj1" fmla="val -63359"/>
                            <a:gd name="adj2" fmla="val 116292"/>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社区内部道路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93.1pt;margin-top:190pt;height:31.15pt;width:89.45pt;z-index:251663360;v-text-anchor:middle;mso-width-relative:page;mso-height-relative:page;" fillcolor="#5B9BD5 [3204]" filled="t" stroked="t" coordsize="21600,21600" o:gfxdata="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3SohA2AAAAAwBAAAP&#10;AAAAAAAAAAEAIAAAACIAAABkcnMvZG93bnJldi54bWxQSwECFAAUAAAACACHTuJAHgmJq8MCAABy&#10;BQAADgAAAAAAAAABACAAAAAnAQAAZHJzL2Uyb0RvYy54bWxQSwUGAAAAAAYABgBZAQAAXAYAAAAA&#10;" adj="-2886,35919">
                <v:fill on="t" focussize="0,0"/>
                <v:stroke weight="1pt" color="#FFFF00 [3204]" miterlimit="8" joinstyle="miter"/>
                <v:imagedata o:title=""/>
                <o:lock v:ext="edit" aspectratio="f"/>
                <v:textbox>
                  <w:txbxContent>
                    <w:p>
                      <w:pPr>
                        <w:jc w:val="center"/>
                        <w:rPr>
                          <w:rFonts w:hint="default" w:eastAsiaTheme="minorEastAsia"/>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社区内部道路</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6042660</wp:posOffset>
                </wp:positionH>
                <wp:positionV relativeFrom="paragraph">
                  <wp:posOffset>617855</wp:posOffset>
                </wp:positionV>
                <wp:extent cx="80645" cy="4220210"/>
                <wp:effectExtent l="38100" t="635" r="52705" b="8255"/>
                <wp:wrapNone/>
                <wp:docPr id="28" name="直接连接符 28"/>
                <wp:cNvGraphicFramePr/>
                <a:graphic xmlns:a="http://schemas.openxmlformats.org/drawingml/2006/main">
                  <a:graphicData uri="http://schemas.microsoft.com/office/word/2010/wordprocessingShape">
                    <wps:wsp>
                      <wps:cNvCnPr/>
                      <wps:spPr>
                        <a:xfrm flipH="1">
                          <a:off x="6957060" y="1941830"/>
                          <a:ext cx="80645" cy="4220210"/>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75.8pt;margin-top:48.65pt;height:332.3pt;width:6.35pt;z-index:251662336;mso-width-relative:page;mso-height-relative:page;" filled="f" stroked="t" coordsize="21600,21600" o:gfxdata="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eVCwvXAAAACgEAAA8AAAAAAAAAAQAgAAAAIgAAAGRycy9kb3du&#10;cmV2LnhtbFBLAQIUABQAAAAIAIdO4kCVSKriAAIAAM4DAAAOAAAAAAAAAAEAIAAAACYBAABkcnMv&#10;ZTJvRG9jLnhtbFBLBQYAAAAABgAGAFkBAACYBQAAAAA=&#10;">
                <v:fill on="f" focussize="0,0"/>
                <v:stroke weight="6pt" color="#FFFF00 [3204]" miterlimit="8" joinstyle="miter"/>
                <v:imagedata o:title=""/>
                <o:lock v:ext="edit" aspectratio="f"/>
              </v:lin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1130300</wp:posOffset>
                </wp:positionH>
                <wp:positionV relativeFrom="paragraph">
                  <wp:posOffset>1853565</wp:posOffset>
                </wp:positionV>
                <wp:extent cx="2484120" cy="988695"/>
                <wp:effectExtent l="0" t="0" r="0" b="0"/>
                <wp:wrapNone/>
                <wp:docPr id="27" name="矩形 27"/>
                <wp:cNvGraphicFramePr/>
                <a:graphic xmlns:a="http://schemas.openxmlformats.org/drawingml/2006/main">
                  <a:graphicData uri="http://schemas.microsoft.com/office/word/2010/wordprocessingShape">
                    <wps:wsp>
                      <wps:cNvSpPr/>
                      <wps:spPr>
                        <a:xfrm>
                          <a:off x="0" y="0"/>
                          <a:ext cx="2484120" cy="988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36"/>
                                <w:lang w:val="en-US" w:eastAsia="zh-CN"/>
                              </w:rPr>
                            </w:pPr>
                            <w:r>
                              <w:rPr>
                                <w:rFonts w:hint="eastAsia"/>
                                <w:b/>
                                <w:bCs/>
                                <w:sz w:val="28"/>
                                <w:szCs w:val="36"/>
                                <w:lang w:val="en-US" w:eastAsia="zh-CN"/>
                              </w:rPr>
                              <w:t>空置房屋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145.95pt;height:77.85pt;width:195.6pt;z-index:251661312;v-text-anchor:middle;mso-width-relative:page;mso-height-relative:page;" filled="f" stroked="f" coordsize="21600,21600" o:gfxdata="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3HziNkAAAALAQAADwAAAAAAAAABACAAAAAiAAAAZHJzL2Rvd25yZXYueG1sUEsBAhQAFAAA&#10;AAgAh07iQG3SIxpgAgAArwQAAA4AAAAAAAAAAQAgAAAAKAEAAGRycy9lMm9Eb2MueG1sUEsFBgAA&#10;AAAGAAYAWQEAAPoFAAAAAA==&#10;">
                <v:fill on="f" focussize="0,0"/>
                <v:stroke on="f" weight="1pt" miterlimit="8" joinstyle="miter"/>
                <v:imagedata o:title=""/>
                <o:lock v:ext="edit" aspectratio="f"/>
                <v:textbox>
                  <w:txbxContent>
                    <w:p>
                      <w:pPr>
                        <w:jc w:val="center"/>
                        <w:rPr>
                          <w:rFonts w:hint="default" w:eastAsiaTheme="minorEastAsia"/>
                          <w:b/>
                          <w:bCs/>
                          <w:sz w:val="28"/>
                          <w:szCs w:val="36"/>
                          <w:lang w:val="en-US" w:eastAsia="zh-CN"/>
                        </w:rPr>
                      </w:pPr>
                      <w:r>
                        <w:rPr>
                          <w:rFonts w:hint="eastAsia"/>
                          <w:b/>
                          <w:bCs/>
                          <w:sz w:val="28"/>
                          <w:szCs w:val="36"/>
                          <w:lang w:val="en-US" w:eastAsia="zh-CN"/>
                        </w:rPr>
                        <w:t>空置房屋</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3227070</wp:posOffset>
                </wp:positionH>
                <wp:positionV relativeFrom="paragraph">
                  <wp:posOffset>2814320</wp:posOffset>
                </wp:positionV>
                <wp:extent cx="2484120" cy="988695"/>
                <wp:effectExtent l="0" t="0" r="0" b="0"/>
                <wp:wrapNone/>
                <wp:docPr id="21" name="矩形 21"/>
                <wp:cNvGraphicFramePr/>
                <a:graphic xmlns:a="http://schemas.openxmlformats.org/drawingml/2006/main">
                  <a:graphicData uri="http://schemas.microsoft.com/office/word/2010/wordprocessingShape">
                    <wps:wsp>
                      <wps:cNvSpPr/>
                      <wps:spPr>
                        <a:xfrm>
                          <a:off x="4229100" y="4138295"/>
                          <a:ext cx="2484120" cy="988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8"/>
                                <w:szCs w:val="36"/>
                              </w:rPr>
                            </w:pPr>
                            <w:r>
                              <w:rPr>
                                <w:rFonts w:hint="eastAsia" w:ascii="Times New Roman" w:hAnsi="Times New Roman" w:eastAsia="宋体" w:cs="Times New Roman"/>
                                <w:b/>
                                <w:bCs/>
                                <w:color w:val="FF0000"/>
                                <w:sz w:val="28"/>
                                <w:szCs w:val="28"/>
                                <w:highlight w:val="none"/>
                                <w:lang w:val="en-US" w:eastAsia="zh-CN"/>
                              </w:rPr>
                              <w:t>乌化</w:t>
                            </w:r>
                            <w:r>
                              <w:rPr>
                                <w:rFonts w:hint="default" w:ascii="Times New Roman" w:hAnsi="Times New Roman" w:eastAsia="宋体" w:cs="Times New Roman"/>
                                <w:b/>
                                <w:bCs/>
                                <w:color w:val="FF0000"/>
                                <w:sz w:val="28"/>
                                <w:szCs w:val="28"/>
                                <w:highlight w:val="none"/>
                                <w:lang w:eastAsia="zh-CN"/>
                              </w:rPr>
                              <w:t>社区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1pt;margin-top:221.6pt;height:77.85pt;width:195.6pt;z-index:251659264;v-text-anchor:middle;mso-width-relative:page;mso-height-relative:page;" filled="f" stroked="f" coordsize="21600,21600" o:gfxdata="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4tAl42QAAAAsBAAAPAAAAAAAAAAEAIAAAACIAAABkcnMvZG93bnJldi54&#10;bWxQSwECFAAUAAAACACHTuJAH0jAsWsCAAC7BAAADgAAAAAAAAABACAAAAAoAQAAZHJzL2Uyb0Rv&#10;Yy54bWxQSwUGAAAAAAYABgBZAQAABQYAAAAA&#10;">
                <v:fill on="f" focussize="0,0"/>
                <v:stroke on="f" weight="1pt" miterlimit="8" joinstyle="miter"/>
                <v:imagedata o:title=""/>
                <o:lock v:ext="edit" aspectratio="f"/>
                <v:textbox>
                  <w:txbxContent>
                    <w:p>
                      <w:pPr>
                        <w:jc w:val="center"/>
                        <w:rPr>
                          <w:b/>
                          <w:bCs/>
                          <w:sz w:val="28"/>
                          <w:szCs w:val="36"/>
                        </w:rPr>
                      </w:pPr>
                      <w:r>
                        <w:rPr>
                          <w:rFonts w:hint="eastAsia" w:ascii="Times New Roman" w:hAnsi="Times New Roman" w:eastAsia="宋体" w:cs="Times New Roman"/>
                          <w:b/>
                          <w:bCs/>
                          <w:color w:val="FF0000"/>
                          <w:sz w:val="28"/>
                          <w:szCs w:val="28"/>
                          <w:highlight w:val="none"/>
                          <w:lang w:val="en-US" w:eastAsia="zh-CN"/>
                        </w:rPr>
                        <w:t>乌化</w:t>
                      </w:r>
                      <w:r>
                        <w:rPr>
                          <w:rFonts w:hint="default" w:ascii="Times New Roman" w:hAnsi="Times New Roman" w:eastAsia="宋体" w:cs="Times New Roman"/>
                          <w:b/>
                          <w:bCs/>
                          <w:color w:val="FF0000"/>
                          <w:sz w:val="28"/>
                          <w:szCs w:val="28"/>
                          <w:highlight w:val="none"/>
                          <w:lang w:eastAsia="zh-CN"/>
                        </w:rPr>
                        <w:t>社区</w:t>
                      </w:r>
                    </w:p>
                  </w:txbxContent>
                </v:textbox>
              </v:rect>
            </w:pict>
          </mc:Fallback>
        </mc:AlternateContent>
      </w:r>
      <w:r>
        <w:rPr>
          <w:rFonts w:hint="default" w:ascii="Times New Roman" w:hAnsi="Times New Roman" w:eastAsia="宋体" w:cs="Times New Roman"/>
          <w:color w:val="auto"/>
          <w:highlight w:val="none"/>
          <w:lang w:eastAsia="zh-CN"/>
        </w:rPr>
        <w:drawing>
          <wp:inline distT="0" distB="0" distL="114300" distR="114300">
            <wp:extent cx="6833235" cy="4860290"/>
            <wp:effectExtent l="0" t="0" r="5715" b="16510"/>
            <wp:docPr id="20" name="图片 20" descr="屏幕截图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截图222"/>
                    <pic:cNvPicPr>
                      <a:picLocks noChangeAspect="1"/>
                    </pic:cNvPicPr>
                  </pic:nvPicPr>
                  <pic:blipFill>
                    <a:blip r:embed="rId25"/>
                    <a:stretch>
                      <a:fillRect/>
                    </a:stretch>
                  </pic:blipFill>
                  <pic:spPr>
                    <a:xfrm>
                      <a:off x="0" y="0"/>
                      <a:ext cx="6833235" cy="4860290"/>
                    </a:xfrm>
                    <a:prstGeom prst="rect">
                      <a:avLst/>
                    </a:prstGeom>
                  </pic:spPr>
                </pic:pic>
              </a:graphicData>
            </a:graphic>
          </wp:inline>
        </w:drawing>
      </w:r>
    </w:p>
    <w:p>
      <w:pPr>
        <w:jc w:val="center"/>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color w:val="auto"/>
          <w:sz w:val="28"/>
          <w:szCs w:val="28"/>
          <w:highlight w:val="none"/>
          <w:lang w:val="en-US" w:eastAsia="zh-CN"/>
        </w:rPr>
        <w:t>厂区四邻关系</w:t>
      </w:r>
      <w:r>
        <w:rPr>
          <w:rFonts w:hint="default" w:ascii="Times New Roman" w:hAnsi="Times New Roman" w:eastAsia="宋体" w:cs="Times New Roman"/>
          <w:b/>
          <w:color w:val="auto"/>
          <w:sz w:val="28"/>
          <w:szCs w:val="28"/>
          <w:highlight w:val="none"/>
          <w:lang w:eastAsia="zh-CN"/>
        </w:rPr>
        <w:t>图</w:t>
      </w:r>
      <w:r>
        <w:rPr>
          <w:rFonts w:hint="default" w:ascii="Times New Roman" w:hAnsi="Times New Roman" w:eastAsia="宋体" w:cs="Times New Roman"/>
          <w:b/>
          <w:color w:val="auto"/>
          <w:sz w:val="28"/>
          <w:szCs w:val="28"/>
          <w:highlight w:val="none"/>
        </w:rPr>
        <w:t xml:space="preserve">  </w:t>
      </w:r>
    </w:p>
    <w:p>
      <w:pPr>
        <w:pStyle w:val="28"/>
        <w:rPr>
          <w:rFonts w:hint="default" w:ascii="Times New Roman" w:hAnsi="Times New Roman" w:eastAsia="宋体" w:cs="Times New Roman"/>
          <w:color w:val="auto"/>
          <w:highlight w:val="none"/>
          <w:lang w:eastAsia="zh-CN"/>
        </w:rPr>
        <w:sectPr>
          <w:pgSz w:w="16838" w:h="11906" w:orient="landscape"/>
          <w:pgMar w:top="1463" w:right="1440" w:bottom="1463" w:left="1440" w:header="851" w:footer="992" w:gutter="0"/>
          <w:cols w:space="425" w:num="1"/>
          <w:docGrid w:type="lines" w:linePitch="312" w:charSpace="0"/>
        </w:sectPr>
      </w:pPr>
    </w:p>
    <w:p>
      <w:pPr>
        <w:pStyle w:val="28"/>
        <w:ind w:left="0" w:leftChars="0" w:firstLine="0" w:firstLineChars="0"/>
        <w:rPr>
          <w:rFonts w:hint="default" w:ascii="Times New Roman" w:hAnsi="Times New Roman" w:eastAsia="宋体" w:cs="Times New Roman"/>
          <w:b/>
          <w:bCs/>
          <w:color w:val="auto"/>
          <w:sz w:val="32"/>
          <w:szCs w:val="32"/>
          <w:highlight w:val="none"/>
          <w:lang w:val="en-US" w:eastAsia="zh-CN"/>
        </w:rPr>
      </w:pPr>
      <w:r>
        <w:rPr>
          <w:rFonts w:hint="default" w:ascii="Times New Roman" w:hAnsi="Times New Roman" w:eastAsia="宋体" w:cs="Times New Roman"/>
          <w:b/>
          <w:bCs/>
          <w:color w:val="auto"/>
          <w:sz w:val="32"/>
          <w:szCs w:val="32"/>
          <w:highlight w:val="none"/>
          <w:lang w:eastAsia="zh-CN"/>
        </w:rPr>
        <w:t>附图</w:t>
      </w:r>
      <w:r>
        <w:rPr>
          <w:rFonts w:hint="default" w:ascii="Times New Roman" w:hAnsi="Times New Roman" w:eastAsia="宋体" w:cs="Times New Roman"/>
          <w:b/>
          <w:bCs/>
          <w:color w:val="auto"/>
          <w:sz w:val="32"/>
          <w:szCs w:val="32"/>
          <w:highlight w:val="none"/>
          <w:lang w:val="en-US" w:eastAsia="zh-CN"/>
        </w:rPr>
        <w:t>5</w:t>
      </w:r>
    </w:p>
    <w:p>
      <w:pPr>
        <w:pStyle w:val="28"/>
        <w:ind w:left="0" w:lef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4401185</wp:posOffset>
                </wp:positionH>
                <wp:positionV relativeFrom="paragraph">
                  <wp:posOffset>2148840</wp:posOffset>
                </wp:positionV>
                <wp:extent cx="1018540" cy="432435"/>
                <wp:effectExtent l="0" t="0" r="0" b="0"/>
                <wp:wrapNone/>
                <wp:docPr id="40" name="矩形 40"/>
                <wp:cNvGraphicFramePr/>
                <a:graphic xmlns:a="http://schemas.openxmlformats.org/drawingml/2006/main">
                  <a:graphicData uri="http://schemas.microsoft.com/office/word/2010/wordprocessingShape">
                    <wps:wsp>
                      <wps:cNvSpPr/>
                      <wps:spPr>
                        <a:xfrm>
                          <a:off x="4143375" y="2996565"/>
                          <a:ext cx="1018540" cy="432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乌化社区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55pt;margin-top:169.2pt;height:34.05pt;width:80.2pt;z-index:251671552;v-text-anchor:middle;mso-width-relative:page;mso-height-relative:page;" filled="f" stroked="f" coordsize="21600,21600" o:gfxdata="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0c+jdkAAAALAQAADwAAAAAAAAABACAAAAAiAAAAZHJzL2Rvd25yZXYu&#10;eG1sUEsBAhQAFAAAAAgAh07iQNVI/05sAgAAuwQAAA4AAAAAAAAAAQAgAAAAKAEAAGRycy9lMm9E&#10;b2MueG1sUEsFBgAAAAAGAAYAWQEAAAYGAAAAAA==&#10;">
                <v:fill on="f" focussize="0,0"/>
                <v:stroke on="f" weight="1pt" miterlimit="8" joinstyle="miter"/>
                <v:imagedata o:title=""/>
                <o:lock v:ext="edit" aspectratio="f"/>
                <v:textbox>
                  <w:txbxContent>
                    <w:p>
                      <w:pPr>
                        <w:jc w:val="center"/>
                        <w:rPr>
                          <w:rFonts w:hint="default" w:eastAsiaTheme="minorEastAsia"/>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乌化社区</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0528" behindDoc="0" locked="0" layoutInCell="1" allowOverlap="1">
                <wp:simplePos x="0" y="0"/>
                <wp:positionH relativeFrom="column">
                  <wp:posOffset>2789555</wp:posOffset>
                </wp:positionH>
                <wp:positionV relativeFrom="paragraph">
                  <wp:posOffset>1042670</wp:posOffset>
                </wp:positionV>
                <wp:extent cx="2820670" cy="2366010"/>
                <wp:effectExtent l="6350" t="6985" r="11430" b="8255"/>
                <wp:wrapNone/>
                <wp:docPr id="39" name="任意多边形 39"/>
                <wp:cNvGraphicFramePr/>
                <a:graphic xmlns:a="http://schemas.openxmlformats.org/drawingml/2006/main">
                  <a:graphicData uri="http://schemas.microsoft.com/office/word/2010/wordprocessingShape">
                    <wps:wsp>
                      <wps:cNvSpPr/>
                      <wps:spPr>
                        <a:xfrm>
                          <a:off x="3703955" y="2366645"/>
                          <a:ext cx="2820670" cy="2366010"/>
                        </a:xfrm>
                        <a:custGeom>
                          <a:avLst/>
                          <a:gdLst>
                            <a:gd name="connisteX0" fmla="*/ 0 w 2820670"/>
                            <a:gd name="connsiteY0" fmla="*/ 36195 h 2366010"/>
                            <a:gd name="connisteX1" fmla="*/ 0 w 2820670"/>
                            <a:gd name="connsiteY1" fmla="*/ 1047750 h 2366010"/>
                            <a:gd name="connisteX2" fmla="*/ 227330 w 2820670"/>
                            <a:gd name="connsiteY2" fmla="*/ 1091565 h 2366010"/>
                            <a:gd name="connisteX3" fmla="*/ 234315 w 2820670"/>
                            <a:gd name="connsiteY3" fmla="*/ 1480185 h 2366010"/>
                            <a:gd name="connisteX4" fmla="*/ 1091565 w 2820670"/>
                            <a:gd name="connsiteY4" fmla="*/ 1831975 h 2366010"/>
                            <a:gd name="connisteX5" fmla="*/ 1546225 w 2820670"/>
                            <a:gd name="connsiteY5" fmla="*/ 2117725 h 2366010"/>
                            <a:gd name="connisteX6" fmla="*/ 2439670 w 2820670"/>
                            <a:gd name="connsiteY6" fmla="*/ 2366010 h 2366010"/>
                            <a:gd name="connisteX7" fmla="*/ 2820670 w 2820670"/>
                            <a:gd name="connsiteY7" fmla="*/ 1918970 h 2366010"/>
                            <a:gd name="connisteX8" fmla="*/ 2784475 w 2820670"/>
                            <a:gd name="connsiteY8" fmla="*/ 775970 h 2366010"/>
                            <a:gd name="connisteX9" fmla="*/ 2468880 w 2820670"/>
                            <a:gd name="connsiteY9" fmla="*/ 490220 h 2366010"/>
                            <a:gd name="connisteX10" fmla="*/ 513080 w 2820670"/>
                            <a:gd name="connsiteY10" fmla="*/ 454660 h 2366010"/>
                            <a:gd name="connisteX11" fmla="*/ 520065 w 2820670"/>
                            <a:gd name="connsiteY11" fmla="*/ 0 h 2366010"/>
                            <a:gd name="connisteX12" fmla="*/ 0 w 2820670"/>
                            <a:gd name="connsiteY12" fmla="*/ 36195 h 23660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2820670" h="2366010">
                              <a:moveTo>
                                <a:pt x="0" y="36195"/>
                              </a:moveTo>
                              <a:lnTo>
                                <a:pt x="0" y="1047750"/>
                              </a:lnTo>
                              <a:lnTo>
                                <a:pt x="227330" y="1091565"/>
                              </a:lnTo>
                              <a:lnTo>
                                <a:pt x="234315" y="1480185"/>
                              </a:lnTo>
                              <a:lnTo>
                                <a:pt x="1091565" y="1831975"/>
                              </a:lnTo>
                              <a:lnTo>
                                <a:pt x="1546225" y="2117725"/>
                              </a:lnTo>
                              <a:lnTo>
                                <a:pt x="2439670" y="2366010"/>
                              </a:lnTo>
                              <a:lnTo>
                                <a:pt x="2820670" y="1918970"/>
                              </a:lnTo>
                              <a:lnTo>
                                <a:pt x="2784475" y="775970"/>
                              </a:lnTo>
                              <a:lnTo>
                                <a:pt x="2468880" y="490220"/>
                              </a:lnTo>
                              <a:lnTo>
                                <a:pt x="513080" y="454660"/>
                              </a:lnTo>
                              <a:lnTo>
                                <a:pt x="520065" y="0"/>
                              </a:lnTo>
                              <a:lnTo>
                                <a:pt x="0" y="36195"/>
                              </a:lnTo>
                              <a:close/>
                            </a:path>
                          </a:pathLst>
                        </a:custGeom>
                        <a:solidFill>
                          <a:srgbClr val="00B0F0">
                            <a:alpha val="23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19.65pt;margin-top:82.1pt;height:186.3pt;width:222.1pt;z-index:251670528;mso-width-relative:page;mso-height-relative:page;" fillcolor="#00B0F0" filled="t" stroked="t" coordsize="2820670,2366010" o:gfxdata="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MF4zAzaAAAACwEA&#10;AA8AAAAAAAAAAQAgAAAAIgAAAGRycy9kb3ducmV2LnhtbFBLAQIUABQAAAAIAIdO4kDi5ZsOUgQA&#10;AFYPAAAOAAAAAAAAAAEAIAAAACkBAABkcnMvZTJvRG9jLnhtbFBLBQYAAAAABgAGAFkBAADtBwAA&#10;AAA=&#10;" path="m0,36195l0,1047750,227330,1091565,234315,1480185,1091565,1831975,1546225,2117725,2439670,2366010,2820670,1918970,2784475,775970,2468880,490220,513080,454660,520065,0,0,36195xe">
                <v:path o:connectlocs="0,36195;0,1047750;227330,1091565;234315,1480185;1091565,1831975;1546225,2117725;2439670,2366010;2820670,1918970;2784475,775970;2468880,490220;513080,454660;520065,0;0,36195" o:connectangles="0,0,0,0,0,0,0,0,0,0,0,0,0"/>
                <v:fill on="t" opacity="15073f" focussize="0,0"/>
                <v:stroke weight="1pt" color="#FF0000 [3204]" miterlimit="8" joinstyle="miter"/>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9504" behindDoc="0" locked="0" layoutInCell="1" allowOverlap="1">
                <wp:simplePos x="0" y="0"/>
                <wp:positionH relativeFrom="column">
                  <wp:posOffset>3785870</wp:posOffset>
                </wp:positionH>
                <wp:positionV relativeFrom="paragraph">
                  <wp:posOffset>2221865</wp:posOffset>
                </wp:positionV>
                <wp:extent cx="710565" cy="292735"/>
                <wp:effectExtent l="0" t="0" r="13335" b="12065"/>
                <wp:wrapNone/>
                <wp:docPr id="38" name="矩形 38"/>
                <wp:cNvGraphicFramePr/>
                <a:graphic xmlns:a="http://schemas.openxmlformats.org/drawingml/2006/main">
                  <a:graphicData uri="http://schemas.microsoft.com/office/word/2010/wordprocessingShape">
                    <wps:wsp>
                      <wps:cNvSpPr/>
                      <wps:spPr>
                        <a:xfrm>
                          <a:off x="5594350" y="3795395"/>
                          <a:ext cx="71056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FF0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1pt;margin-top:174.95pt;height:23.05pt;width:55.95pt;z-index:251669504;v-text-anchor:middle;mso-width-relative:page;mso-height-relative:page;" filled="f" stroked="f" coordsize="21600,21600" o:gfxdata="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tJQaPZAAAACwEAAA8AAAAAAAAAAQAgAAAAIgAAAGRycy9kb3ducmV2&#10;LnhtbFBLAQIUABQAAAAIAIdO4kCVctN/bQIAALoEAAAOAAAAAAAAAAEAIAAAACgBAABkcnMvZTJv&#10;RG9jLnhtbFBLBQYAAAAABgAGAFkBAAAHBgAAAAA=&#10;">
                <v:fill on="f" focussize="0,0"/>
                <v:stroke on="f" weight="1pt" miterlimit="8" joinstyle="miter"/>
                <v:imagedata o:title=""/>
                <o:lock v:ext="edit" aspectratio="f"/>
                <v:textbox>
                  <w:txbxContent>
                    <w:p>
                      <w:pPr>
                        <w:jc w:val="center"/>
                        <w:rPr>
                          <w:rFonts w:hint="eastAsia" w:eastAsiaTheme="minorEastAsia"/>
                          <w:b/>
                          <w:bCs/>
                          <w:color w:val="FFFF0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2773045</wp:posOffset>
                </wp:positionH>
                <wp:positionV relativeFrom="paragraph">
                  <wp:posOffset>2963545</wp:posOffset>
                </wp:positionV>
                <wp:extent cx="967105" cy="446405"/>
                <wp:effectExtent l="6350" t="853440" r="302895" b="14605"/>
                <wp:wrapNone/>
                <wp:docPr id="37" name="矩形标注 37"/>
                <wp:cNvGraphicFramePr/>
                <a:graphic xmlns:a="http://schemas.openxmlformats.org/drawingml/2006/main">
                  <a:graphicData uri="http://schemas.microsoft.com/office/word/2010/wordprocessingShape">
                    <wps:wsp>
                      <wps:cNvSpPr/>
                      <wps:spPr>
                        <a:xfrm>
                          <a:off x="0" y="0"/>
                          <a:ext cx="967105" cy="446405"/>
                        </a:xfrm>
                        <a:prstGeom prst="wedgeRectCallout">
                          <a:avLst>
                            <a:gd name="adj1" fmla="val 76592"/>
                            <a:gd name="adj2" fmla="val -231507"/>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eastAsia="zh-CN"/>
                              </w:rPr>
                            </w:pPr>
                            <w:r>
                              <w:rPr>
                                <w:rFonts w:hint="eastAsia" w:ascii="Times New Roman" w:hAnsi="Times New Roman" w:eastAsia="宋体" w:cs="Times New Roman"/>
                                <w:color w:val="FF0000"/>
                                <w:sz w:val="21"/>
                                <w:szCs w:val="21"/>
                                <w:highlight w:val="none"/>
                                <w:lang w:val="en-US" w:eastAsia="zh-CN"/>
                              </w:rPr>
                              <w:t>乌拉山镇化肥厂卫生院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8.35pt;margin-top:233.35pt;height:35.15pt;width:76.15pt;z-index:251668480;v-text-anchor:middle;mso-width-relative:page;mso-height-relative:page;" fillcolor="#5B9BD5 [3204]" filled="t" stroked="t" coordsize="21600,21600" o:gfxdata="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BAyqDYAAAACwEAAA8AAAAAAAAAAQAgAAAA&#10;IgAAAGRycy9kb3ducmV2LnhtbFBLAQIUABQAAAAIAIdO4kDjxxtQtgIAAGUFAAAOAAAAAAAAAAEA&#10;IAAAACcBAABkcnMvZTJvRG9jLnhtbFBLBQYAAAAABgAGAFkBAABPBgAAAAA=&#10;" adj="27344,-39206">
                <v:fill on="t" focussize="0,0"/>
                <v:stroke weight="1pt" color="#FF0000 [3204]" miterlimit="8" joinstyle="miter"/>
                <v:imagedata o:title=""/>
                <o:lock v:ext="edit" aspectratio="f"/>
                <v:textbox>
                  <w:txbxContent>
                    <w:p>
                      <w:pPr>
                        <w:jc w:val="center"/>
                        <w:rPr>
                          <w:rFonts w:hint="default"/>
                          <w:lang w:val="en-US" w:eastAsia="zh-CN"/>
                        </w:rPr>
                      </w:pPr>
                      <w:r>
                        <w:rPr>
                          <w:rFonts w:hint="eastAsia" w:ascii="Times New Roman" w:hAnsi="Times New Roman" w:eastAsia="宋体" w:cs="Times New Roman"/>
                          <w:color w:val="FF0000"/>
                          <w:sz w:val="21"/>
                          <w:szCs w:val="21"/>
                          <w:highlight w:val="none"/>
                          <w:lang w:val="en-US" w:eastAsia="zh-CN"/>
                        </w:rPr>
                        <w:t>乌拉山镇化肥厂卫生院</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4869815</wp:posOffset>
                </wp:positionH>
                <wp:positionV relativeFrom="paragraph">
                  <wp:posOffset>781685</wp:posOffset>
                </wp:positionV>
                <wp:extent cx="967105" cy="446405"/>
                <wp:effectExtent l="499745" t="6350" r="19050" b="137795"/>
                <wp:wrapNone/>
                <wp:docPr id="36" name="矩形标注 36"/>
                <wp:cNvGraphicFramePr/>
                <a:graphic xmlns:a="http://schemas.openxmlformats.org/drawingml/2006/main">
                  <a:graphicData uri="http://schemas.microsoft.com/office/word/2010/wordprocessingShape">
                    <wps:wsp>
                      <wps:cNvSpPr/>
                      <wps:spPr>
                        <a:xfrm>
                          <a:off x="0" y="0"/>
                          <a:ext cx="967105" cy="446405"/>
                        </a:xfrm>
                        <a:prstGeom prst="wedgeRectCallout">
                          <a:avLst>
                            <a:gd name="adj1" fmla="val -96881"/>
                            <a:gd name="adj2" fmla="val 72190"/>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宋体" w:cs="Times New Roman"/>
                                <w:color w:val="FF0000"/>
                                <w:sz w:val="21"/>
                                <w:szCs w:val="21"/>
                                <w:highlight w:val="none"/>
                                <w:lang w:val="en-US" w:eastAsia="zh-CN"/>
                              </w:rPr>
                              <w:t>乌拉特前旗第八小学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3.45pt;margin-top:61.55pt;height:35.15pt;width:76.15pt;z-index:251667456;v-text-anchor:middle;mso-width-relative:page;mso-height-relative:page;" fillcolor="#5B9BD5 [3204]" filled="t" stroked="t" coordsize="21600,21600" o:gfxdata="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LRqiHaAAAACwEAAA8AAAAAAAAAAQAgAAAA&#10;IgAAAGRycy9kb3ducmV2LnhtbFBLAQIUABQAAAAIAIdO4kAHD9BCtAIAAGQFAAAOAAAAAAAAAAEA&#10;IAAAACkBAABkcnMvZTJvRG9jLnhtbFBLBQYAAAAABgAGAFkBAABPBgAAAAA=&#10;" adj="-10126,26393">
                <v:fill on="t" focussize="0,0"/>
                <v:stroke weight="1pt" color="#FF0000 [3204]" miterlimit="8" joinstyle="miter"/>
                <v:imagedata o:title=""/>
                <o:lock v:ext="edit" aspectratio="f"/>
                <v:textbox>
                  <w:txbxContent>
                    <w:p>
                      <w:pPr>
                        <w:jc w:val="center"/>
                        <w:rPr>
                          <w:rFonts w:hint="default" w:eastAsiaTheme="minorEastAsia"/>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eastAsia="宋体" w:cs="Times New Roman"/>
                          <w:color w:val="FF0000"/>
                          <w:sz w:val="21"/>
                          <w:szCs w:val="21"/>
                          <w:highlight w:val="none"/>
                          <w:lang w:val="en-US" w:eastAsia="zh-CN"/>
                        </w:rPr>
                        <w:t>乌拉特前旗第八小学</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4354195</wp:posOffset>
                </wp:positionH>
                <wp:positionV relativeFrom="paragraph">
                  <wp:posOffset>1293495</wp:posOffset>
                </wp:positionV>
                <wp:extent cx="107950" cy="107950"/>
                <wp:effectExtent l="6350" t="6350" r="19050" b="19050"/>
                <wp:wrapNone/>
                <wp:docPr id="34" name="椭圆 3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2.85pt;margin-top:101.85pt;height:8.5pt;width:8.5pt;z-index:251666432;v-text-anchor:middle;mso-width-relative:page;mso-height-relative:page;" fillcolor="#FF0000" filled="t" stroked="t" coordsize="21600,21600" o:gfxdata="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ZxnWjZAAAACwEAAA8AAAAAAAAAAQAgAAAAIgAAAGRycy9kb3ducmV2&#10;LnhtbFBLAQIUABQAAAAIAIdO4kAgQxGjbQIAAPgEAAAOAAAAAAAAAAEAIAAAACgBAABkcnMvZTJv&#10;RG9jLnhtbFBLBQYAAAAABgAGAFkBAAAHBgAAAAA=&#10;">
                <v:fill on="t" focussize="0,0"/>
                <v:stroke weight="1pt" color="#000000 [3213]" miterlimit="8" joinstyle="miter"/>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5408" behindDoc="0" locked="0" layoutInCell="1" allowOverlap="1">
                <wp:simplePos x="0" y="0"/>
                <wp:positionH relativeFrom="column">
                  <wp:posOffset>3975100</wp:posOffset>
                </wp:positionH>
                <wp:positionV relativeFrom="paragraph">
                  <wp:posOffset>2085975</wp:posOffset>
                </wp:positionV>
                <wp:extent cx="107950" cy="107950"/>
                <wp:effectExtent l="6350" t="6350" r="19050" b="19050"/>
                <wp:wrapNone/>
                <wp:docPr id="33" name="椭圆 3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3pt;margin-top:164.25pt;height:8.5pt;width:8.5pt;z-index:251665408;v-text-anchor:middle;mso-width-relative:page;mso-height-relative:page;" fillcolor="#FF0000" filled="t" stroked="t" coordsize="21600,21600" o:gfxdata="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tv4kO2gAAAAsBAAAPAAAAAAAAAAEAIAAAACIAAABkcnMvZG93bnJl&#10;di54bWxQSwECFAAUAAAACACHTuJAuO1NuW0CAAD4BAAADgAAAAAAAAABACAAAAApAQAAZHJzL2Uy&#10;b0RvYy54bWxQSwUGAAAAAAYABgBZAQAACAYAAAAA&#10;">
                <v:fill on="t" focussize="0,0"/>
                <v:stroke weight="1pt" color="#000000 [3213]" miterlimit="8" joinstyle="miter"/>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2056765</wp:posOffset>
                </wp:positionH>
                <wp:positionV relativeFrom="paragraph">
                  <wp:posOffset>740410</wp:posOffset>
                </wp:positionV>
                <wp:extent cx="4279900" cy="3216275"/>
                <wp:effectExtent l="6350" t="6350" r="19050" b="15875"/>
                <wp:wrapNone/>
                <wp:docPr id="31" name="矩形 31"/>
                <wp:cNvGraphicFramePr/>
                <a:graphic xmlns:a="http://schemas.openxmlformats.org/drawingml/2006/main">
                  <a:graphicData uri="http://schemas.microsoft.com/office/word/2010/wordprocessingShape">
                    <wps:wsp>
                      <wps:cNvSpPr/>
                      <wps:spPr>
                        <a:xfrm>
                          <a:off x="3395980" y="2614295"/>
                          <a:ext cx="4279900" cy="321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95pt;margin-top:58.3pt;height:253.25pt;width:337pt;z-index:251664384;v-text-anchor:middle;mso-width-relative:page;mso-height-relative:page;" filled="f" stroked="t" coordsize="21600,21600" o:gfxdata="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&#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jLIm2AAAAAsBAAAPAAAAAAAAAAEAIAAAACIAAABk&#10;cnMvZG93bnJldi54bWxQSwECFAAUAAAACACHTuJAvZSSyXgCAADaBAAADgAAAAAAAAABACAAAAAn&#10;AQAAZHJzL2Uyb0RvYy54bWxQSwUGAAAAAAYABgBZAQAAEQYAAAAA&#10;">
                <v:fill on="f" focussize="0,0"/>
                <v:stroke weight="1pt" color="#FF0000 [3204]" miterlimit="8" joinstyle="miter"/>
                <v:imagedata o:title=""/>
                <o:lock v:ext="edit" aspectratio="f"/>
              </v:rect>
            </w:pict>
          </mc:Fallback>
        </mc:AlternateContent>
      </w:r>
      <w:r>
        <w:rPr>
          <w:rFonts w:hint="default" w:ascii="Times New Roman" w:hAnsi="Times New Roman" w:eastAsia="宋体" w:cs="Times New Roman"/>
          <w:color w:val="auto"/>
          <w:highlight w:val="none"/>
          <w:lang w:eastAsia="zh-CN"/>
        </w:rPr>
        <w:drawing>
          <wp:inline distT="0" distB="0" distL="114300" distR="114300">
            <wp:extent cx="7544435" cy="4860290"/>
            <wp:effectExtent l="0" t="0" r="18415" b="16510"/>
            <wp:docPr id="30" name="图片 30" descr="屏幕截图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屏幕截图222222"/>
                    <pic:cNvPicPr>
                      <a:picLocks noChangeAspect="1"/>
                    </pic:cNvPicPr>
                  </pic:nvPicPr>
                  <pic:blipFill>
                    <a:blip r:embed="rId26"/>
                    <a:stretch>
                      <a:fillRect/>
                    </a:stretch>
                  </pic:blipFill>
                  <pic:spPr>
                    <a:xfrm>
                      <a:off x="0" y="0"/>
                      <a:ext cx="7544435" cy="4860290"/>
                    </a:xfrm>
                    <a:prstGeom prst="rect">
                      <a:avLst/>
                    </a:prstGeom>
                  </pic:spPr>
                </pic:pic>
              </a:graphicData>
            </a:graphic>
          </wp:inline>
        </w:drawing>
      </w:r>
    </w:p>
    <w:p>
      <w:pPr>
        <w:jc w:val="center"/>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color w:val="auto"/>
          <w:sz w:val="28"/>
          <w:szCs w:val="28"/>
          <w:highlight w:val="none"/>
          <w:lang w:eastAsia="zh-CN"/>
        </w:rPr>
        <w:t>环境敏感区示意图</w:t>
      </w:r>
      <w:r>
        <w:rPr>
          <w:rFonts w:hint="default" w:ascii="Times New Roman" w:hAnsi="Times New Roman" w:eastAsia="宋体" w:cs="Times New Roman"/>
          <w:b/>
          <w:color w:val="auto"/>
          <w:sz w:val="28"/>
          <w:szCs w:val="28"/>
          <w:highlight w:val="none"/>
        </w:rPr>
        <w:t xml:space="preserve">  </w:t>
      </w:r>
    </w:p>
    <w:p>
      <w:pPr>
        <w:pStyle w:val="28"/>
        <w:rPr>
          <w:rFonts w:hint="default" w:ascii="Times New Roman" w:hAnsi="Times New Roman" w:eastAsia="宋体" w:cs="Times New Roman"/>
          <w:color w:val="auto"/>
          <w:highlight w:val="none"/>
          <w:lang w:eastAsia="zh-CN"/>
        </w:rPr>
        <w:sectPr>
          <w:pgSz w:w="16838" w:h="11906" w:orient="landscape"/>
          <w:pgMar w:top="1463" w:right="1440" w:bottom="1463" w:left="1440" w:header="851" w:footer="992" w:gutter="0"/>
          <w:cols w:space="425" w:num="1"/>
          <w:docGrid w:type="lines" w:linePitch="312" w:charSpace="0"/>
        </w:sectPr>
      </w:pPr>
    </w:p>
    <w:p>
      <w:pPr>
        <w:spacing w:line="480" w:lineRule="auto"/>
        <w:jc w:val="left"/>
        <w:outlineLvl w:val="0"/>
        <w:rPr>
          <w:rFonts w:hint="default" w:ascii="Times New Roman" w:hAnsi="Times New Roman" w:eastAsia="宋体" w:cs="Times New Roman"/>
          <w:b/>
          <w:color w:val="auto"/>
          <w:sz w:val="32"/>
          <w:szCs w:val="32"/>
          <w:lang w:val="en-US" w:eastAsia="zh-CN"/>
        </w:rPr>
      </w:pPr>
      <w:r>
        <w:rPr>
          <w:rFonts w:hint="default" w:ascii="Times New Roman" w:hAnsi="Times New Roman" w:eastAsia="宋体" w:cs="Times New Roman"/>
          <w:b/>
          <w:color w:val="auto"/>
          <w:sz w:val="32"/>
          <w:szCs w:val="32"/>
          <w:lang w:eastAsia="zh-CN"/>
        </w:rPr>
        <w:t>附件</w:t>
      </w:r>
      <w:r>
        <w:rPr>
          <w:rFonts w:hint="default" w:ascii="Times New Roman" w:hAnsi="Times New Roman" w:eastAsia="宋体" w:cs="Times New Roman"/>
          <w:b/>
          <w:color w:val="auto"/>
          <w:sz w:val="32"/>
          <w:szCs w:val="32"/>
          <w:lang w:val="en-US" w:eastAsia="zh-CN"/>
        </w:rPr>
        <w:t>1</w:t>
      </w:r>
    </w:p>
    <w:p>
      <w:pPr>
        <w:shd w:val="clear"/>
        <w:spacing w:line="480" w:lineRule="auto"/>
        <w:jc w:val="center"/>
        <w:outlineLvl w:val="0"/>
        <w:rPr>
          <w:rFonts w:hint="default" w:ascii="Times New Roman" w:hAnsi="Times New Roman" w:eastAsia="宋体" w:cs="Times New Roman"/>
          <w:b/>
          <w:color w:val="auto"/>
          <w:sz w:val="48"/>
          <w:szCs w:val="48"/>
        </w:rPr>
      </w:pPr>
    </w:p>
    <w:p>
      <w:pPr>
        <w:shd w:val="clear"/>
        <w:spacing w:line="480" w:lineRule="auto"/>
        <w:jc w:val="center"/>
        <w:outlineLvl w:val="0"/>
        <w:rPr>
          <w:rFonts w:hint="default" w:ascii="Times New Roman" w:hAnsi="Times New Roman" w:eastAsia="宋体" w:cs="Times New Roman"/>
          <w:b/>
          <w:color w:val="auto"/>
          <w:sz w:val="48"/>
          <w:szCs w:val="48"/>
        </w:rPr>
      </w:pPr>
    </w:p>
    <w:p>
      <w:pPr>
        <w:shd w:val="clear"/>
        <w:spacing w:line="480" w:lineRule="auto"/>
        <w:jc w:val="center"/>
        <w:outlineLvl w:val="0"/>
        <w:rPr>
          <w:rFonts w:hint="default" w:ascii="Times New Roman" w:hAnsi="Times New Roman" w:eastAsia="宋体" w:cs="Times New Roman"/>
          <w:b/>
          <w:color w:val="auto"/>
          <w:sz w:val="48"/>
          <w:szCs w:val="48"/>
        </w:rPr>
      </w:pPr>
    </w:p>
    <w:p>
      <w:pPr>
        <w:shd w:val="clear"/>
        <w:spacing w:line="480" w:lineRule="auto"/>
        <w:jc w:val="center"/>
        <w:outlineLvl w:val="0"/>
        <w:rPr>
          <w:rFonts w:hint="default" w:ascii="Times New Roman" w:hAnsi="Times New Roman" w:eastAsia="宋体" w:cs="Times New Roman"/>
          <w:b/>
          <w:color w:val="auto"/>
          <w:sz w:val="48"/>
          <w:szCs w:val="48"/>
        </w:rPr>
      </w:pPr>
      <w:r>
        <w:rPr>
          <w:rFonts w:hint="default" w:ascii="Times New Roman" w:hAnsi="Times New Roman" w:eastAsia="宋体" w:cs="Times New Roman"/>
          <w:b/>
          <w:color w:val="auto"/>
          <w:sz w:val="48"/>
          <w:szCs w:val="48"/>
        </w:rPr>
        <w:t>环境影响评价报告委托书</w:t>
      </w:r>
    </w:p>
    <w:p>
      <w:pPr>
        <w:shd w:val="clear"/>
        <w:spacing w:line="480" w:lineRule="auto"/>
        <w:outlineLvl w:val="0"/>
        <w:rPr>
          <w:rFonts w:hint="default" w:ascii="Times New Roman" w:hAnsi="Times New Roman" w:eastAsia="宋体" w:cs="Times New Roman"/>
          <w:b/>
          <w:color w:val="auto"/>
          <w:sz w:val="48"/>
          <w:szCs w:val="48"/>
        </w:rPr>
      </w:pPr>
    </w:p>
    <w:p>
      <w:pPr>
        <w:shd w:val="clear"/>
        <w:spacing w:line="480" w:lineRule="auto"/>
        <w:ind w:firstLine="278" w:firstLineChars="99"/>
        <w:rPr>
          <w:rFonts w:hint="default" w:ascii="Times New Roman" w:hAnsi="Times New Roman" w:eastAsia="宋体" w:cs="Times New Roman"/>
          <w:b/>
          <w:color w:val="auto"/>
          <w:sz w:val="28"/>
          <w:szCs w:val="28"/>
        </w:rPr>
      </w:pPr>
    </w:p>
    <w:p>
      <w:pPr>
        <w:shd w:val="clear"/>
        <w:spacing w:line="480" w:lineRule="auto"/>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内蒙古同人工程技术咨询有限公司：</w:t>
      </w:r>
    </w:p>
    <w:p>
      <w:pPr>
        <w:shd w:val="clear"/>
        <w:ind w:firstLine="420" w:firstLineChars="15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根据《中华人民共和国环境影响评价法》的要求，“</w:t>
      </w:r>
      <w:r>
        <w:rPr>
          <w:rFonts w:hint="eastAsia" w:ascii="Times New Roman" w:hAnsi="Times New Roman" w:eastAsia="宋体" w:cs="Times New Roman"/>
          <w:color w:val="auto"/>
          <w:sz w:val="28"/>
          <w:szCs w:val="28"/>
          <w:lang w:eastAsia="zh-CN"/>
        </w:rPr>
        <w:t>乌化社区乌拉山化肥厂家属楼供暖锅炉项目</w:t>
      </w:r>
      <w:r>
        <w:rPr>
          <w:rFonts w:hint="default" w:ascii="Times New Roman" w:hAnsi="Times New Roman" w:eastAsia="宋体" w:cs="Times New Roman"/>
          <w:color w:val="auto"/>
          <w:sz w:val="28"/>
          <w:szCs w:val="28"/>
        </w:rPr>
        <w:t>”需进行环境影响评价。现委托贵公司承担该项工作，请贵公司尽快组织有关人员展开工作，编制该项目的环境影响报告表。</w:t>
      </w:r>
    </w:p>
    <w:p>
      <w:pPr>
        <w:shd w:val="clear"/>
        <w:spacing w:line="480" w:lineRule="auto"/>
        <w:ind w:firstLine="700" w:firstLineChars="250"/>
        <w:rPr>
          <w:rFonts w:hint="default" w:ascii="Times New Roman" w:hAnsi="Times New Roman" w:eastAsia="宋体" w:cs="Times New Roman"/>
          <w:color w:val="auto"/>
          <w:sz w:val="28"/>
          <w:szCs w:val="28"/>
        </w:rPr>
      </w:pPr>
    </w:p>
    <w:p>
      <w:pPr>
        <w:shd w:val="clear"/>
        <w:spacing w:line="480" w:lineRule="auto"/>
        <w:ind w:firstLine="700" w:firstLineChars="250"/>
        <w:rPr>
          <w:rFonts w:hint="default" w:ascii="Times New Roman" w:hAnsi="Times New Roman" w:eastAsia="宋体" w:cs="Times New Roman"/>
          <w:color w:val="auto"/>
          <w:sz w:val="28"/>
          <w:szCs w:val="28"/>
        </w:rPr>
      </w:pPr>
    </w:p>
    <w:p>
      <w:pPr>
        <w:shd w:val="clear"/>
        <w:spacing w:line="480" w:lineRule="auto"/>
        <w:ind w:firstLine="700" w:firstLineChars="250"/>
        <w:rPr>
          <w:rFonts w:hint="default" w:ascii="Times New Roman" w:hAnsi="Times New Roman" w:eastAsia="宋体" w:cs="Times New Roman"/>
          <w:color w:val="auto"/>
          <w:sz w:val="28"/>
          <w:szCs w:val="28"/>
        </w:rPr>
      </w:pPr>
    </w:p>
    <w:p>
      <w:pPr>
        <w:shd w:val="clear"/>
        <w:spacing w:line="480" w:lineRule="auto"/>
        <w:ind w:firstLine="700" w:firstLineChars="250"/>
        <w:rPr>
          <w:rFonts w:hint="default" w:ascii="Times New Roman" w:hAnsi="Times New Roman" w:eastAsia="宋体" w:cs="Times New Roman"/>
          <w:color w:val="auto"/>
          <w:sz w:val="28"/>
          <w:szCs w:val="28"/>
        </w:rPr>
      </w:pPr>
    </w:p>
    <w:p>
      <w:pPr>
        <w:shd w:val="clear"/>
        <w:spacing w:line="360" w:lineRule="auto"/>
        <w:jc w:val="righ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乌拉山镇人民政府</w:t>
      </w:r>
    </w:p>
    <w:p>
      <w:pPr>
        <w:shd w:val="clear"/>
        <w:spacing w:line="360" w:lineRule="auto"/>
        <w:jc w:val="righ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二0二</w:t>
      </w:r>
      <w:r>
        <w:rPr>
          <w:rFonts w:hint="default" w:ascii="Times New Roman" w:hAnsi="Times New Roman" w:eastAsia="宋体" w:cs="Times New Roman"/>
          <w:color w:val="auto"/>
          <w:sz w:val="28"/>
          <w:szCs w:val="28"/>
          <w:lang w:val="en-US" w:eastAsia="zh-CN"/>
        </w:rPr>
        <w:t>二</w:t>
      </w:r>
      <w:r>
        <w:rPr>
          <w:rFonts w:hint="default" w:ascii="Times New Roman" w:hAnsi="Times New Roman" w:eastAsia="宋体" w:cs="Times New Roman"/>
          <w:color w:val="auto"/>
          <w:sz w:val="28"/>
          <w:szCs w:val="28"/>
        </w:rPr>
        <w:t>年</w:t>
      </w:r>
      <w:r>
        <w:rPr>
          <w:rFonts w:hint="default" w:ascii="Times New Roman" w:hAnsi="Times New Roman" w:eastAsia="宋体" w:cs="Times New Roman"/>
          <w:color w:val="auto"/>
          <w:sz w:val="28"/>
          <w:szCs w:val="28"/>
          <w:lang w:val="en-US" w:eastAsia="zh-CN"/>
        </w:rPr>
        <w:t>九</w:t>
      </w:r>
      <w:r>
        <w:rPr>
          <w:rFonts w:hint="default" w:ascii="Times New Roman" w:hAnsi="Times New Roman" w:eastAsia="宋体" w:cs="Times New Roman"/>
          <w:color w:val="auto"/>
          <w:sz w:val="28"/>
          <w:szCs w:val="28"/>
        </w:rPr>
        <w:t>月</w:t>
      </w:r>
    </w:p>
    <w:p>
      <w:pPr>
        <w:shd w:val="clear"/>
        <w:spacing w:line="360" w:lineRule="auto"/>
        <w:jc w:val="right"/>
        <w:rPr>
          <w:rFonts w:hint="default" w:ascii="Times New Roman" w:hAnsi="Times New Roman" w:eastAsia="宋体" w:cs="Times New Roman"/>
          <w:color w:val="auto"/>
          <w:sz w:val="28"/>
          <w:szCs w:val="28"/>
        </w:rPr>
      </w:pPr>
    </w:p>
    <w:p>
      <w:pPr>
        <w:shd w:val="clear"/>
        <w:spacing w:line="360" w:lineRule="auto"/>
        <w:jc w:val="right"/>
        <w:rPr>
          <w:rFonts w:hint="default" w:ascii="Times New Roman" w:hAnsi="Times New Roman" w:eastAsia="宋体" w:cs="Times New Roman"/>
          <w:color w:val="auto"/>
          <w:sz w:val="28"/>
          <w:szCs w:val="28"/>
        </w:rPr>
      </w:pPr>
    </w:p>
    <w:p>
      <w:pPr>
        <w:shd w:val="clear"/>
        <w:spacing w:line="360" w:lineRule="auto"/>
        <w:jc w:val="right"/>
        <w:rPr>
          <w:rFonts w:hint="default" w:ascii="Times New Roman" w:hAnsi="Times New Roman" w:eastAsia="宋体" w:cs="Times New Roman"/>
          <w:color w:val="auto"/>
          <w:sz w:val="28"/>
          <w:szCs w:val="28"/>
        </w:rPr>
      </w:pPr>
    </w:p>
    <w:p>
      <w:pPr>
        <w:shd w:val="clear"/>
        <w:spacing w:line="360" w:lineRule="auto"/>
        <w:jc w:val="right"/>
        <w:rPr>
          <w:rFonts w:hint="default" w:ascii="Times New Roman" w:hAnsi="Times New Roman" w:eastAsia="宋体" w:cs="Times New Roman"/>
          <w:color w:val="auto"/>
          <w:sz w:val="28"/>
          <w:szCs w:val="28"/>
        </w:rPr>
      </w:pPr>
    </w:p>
    <w:p>
      <w:pPr>
        <w:spacing w:line="480" w:lineRule="auto"/>
        <w:jc w:val="left"/>
        <w:outlineLvl w:val="0"/>
        <w:rPr>
          <w:rFonts w:hint="default" w:ascii="Times New Roman" w:hAnsi="Times New Roman" w:eastAsia="宋体" w:cs="Times New Roman"/>
          <w:b/>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0"/>
        <w:rPr>
          <w:rFonts w:hint="default" w:ascii="Times New Roman" w:hAnsi="Times New Roman" w:eastAsia="宋体" w:cs="Times New Roman"/>
          <w:b/>
          <w:color w:val="auto"/>
          <w:sz w:val="28"/>
          <w:szCs w:val="28"/>
          <w:lang w:val="en-US" w:eastAsia="zh-CN"/>
        </w:rPr>
      </w:pPr>
      <w:r>
        <w:rPr>
          <w:rFonts w:hint="default" w:ascii="Times New Roman" w:hAnsi="Times New Roman" w:eastAsia="宋体" w:cs="Times New Roman"/>
          <w:b/>
          <w:color w:val="auto"/>
          <w:sz w:val="28"/>
          <w:szCs w:val="28"/>
          <w:lang w:eastAsia="zh-CN"/>
        </w:rPr>
        <w:t>附件</w:t>
      </w:r>
      <w:r>
        <w:rPr>
          <w:rFonts w:hint="default" w:ascii="Times New Roman" w:hAnsi="Times New Roman" w:eastAsia="宋体" w:cs="Times New Roman"/>
          <w:b/>
          <w:color w:val="auto"/>
          <w:sz w:val="28"/>
          <w:szCs w:val="28"/>
          <w:lang w:val="en-US" w:eastAsia="zh-CN"/>
        </w:rPr>
        <w:t>2</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drawing>
          <wp:inline distT="0" distB="0" distL="114300" distR="114300">
            <wp:extent cx="5259070" cy="7295515"/>
            <wp:effectExtent l="0" t="0" r="17780" b="635"/>
            <wp:docPr id="22" name="图片 22" descr="政府纪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政府纪要1"/>
                    <pic:cNvPicPr>
                      <a:picLocks noChangeAspect="1"/>
                    </pic:cNvPicPr>
                  </pic:nvPicPr>
                  <pic:blipFill>
                    <a:blip r:embed="rId27"/>
                    <a:stretch>
                      <a:fillRect/>
                    </a:stretch>
                  </pic:blipFill>
                  <pic:spPr>
                    <a:xfrm>
                      <a:off x="0" y="0"/>
                      <a:ext cx="5259070" cy="7295515"/>
                    </a:xfrm>
                    <a:prstGeom prst="rect">
                      <a:avLst/>
                    </a:prstGeom>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8"/>
          <w:szCs w:val="28"/>
          <w:lang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8"/>
          <w:szCs w:val="28"/>
          <w:lang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8"/>
          <w:szCs w:val="28"/>
          <w:lang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drawing>
          <wp:inline distT="0" distB="0" distL="114300" distR="114300">
            <wp:extent cx="5259070" cy="7295515"/>
            <wp:effectExtent l="0" t="0" r="17780" b="635"/>
            <wp:docPr id="23" name="图片 23" descr="政府纪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政府纪要2"/>
                    <pic:cNvPicPr>
                      <a:picLocks noChangeAspect="1"/>
                    </pic:cNvPicPr>
                  </pic:nvPicPr>
                  <pic:blipFill>
                    <a:blip r:embed="rId28"/>
                    <a:stretch>
                      <a:fillRect/>
                    </a:stretch>
                  </pic:blipFill>
                  <pic:spPr>
                    <a:xfrm>
                      <a:off x="0" y="0"/>
                      <a:ext cx="5259070" cy="7295515"/>
                    </a:xfrm>
                    <a:prstGeom prst="rect">
                      <a:avLst/>
                    </a:prstGeom>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8"/>
          <w:szCs w:val="28"/>
          <w:lang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8"/>
          <w:szCs w:val="28"/>
          <w:lang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0"/>
        <w:rPr>
          <w:rFonts w:hint="default" w:ascii="Times New Roman" w:hAnsi="Times New Roman" w:eastAsia="宋体" w:cs="Times New Roman"/>
          <w:b/>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0"/>
        <w:rPr>
          <w:rFonts w:hint="default" w:ascii="Times New Roman" w:hAnsi="Times New Roman" w:eastAsia="宋体" w:cs="Times New Roman"/>
          <w:b/>
          <w:color w:val="auto"/>
          <w:sz w:val="28"/>
          <w:szCs w:val="28"/>
          <w:lang w:val="en-US" w:eastAsia="zh-CN"/>
        </w:rPr>
      </w:pPr>
      <w:r>
        <w:rPr>
          <w:rFonts w:hint="default" w:ascii="Times New Roman" w:hAnsi="Times New Roman" w:eastAsia="宋体" w:cs="Times New Roman"/>
          <w:b/>
          <w:color w:val="auto"/>
          <w:sz w:val="28"/>
          <w:szCs w:val="28"/>
          <w:lang w:eastAsia="zh-CN"/>
        </w:rPr>
        <w:t>附件</w:t>
      </w:r>
      <w:r>
        <w:rPr>
          <w:rFonts w:hint="default" w:ascii="Times New Roman" w:hAnsi="Times New Roman" w:eastAsia="宋体" w:cs="Times New Roman"/>
          <w:b/>
          <w:color w:val="auto"/>
          <w:sz w:val="28"/>
          <w:szCs w:val="28"/>
          <w:lang w:val="en-US" w:eastAsia="zh-CN"/>
        </w:rPr>
        <w:t>3</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drawing>
          <wp:inline distT="0" distB="0" distL="114300" distR="114300">
            <wp:extent cx="5259070" cy="7295515"/>
            <wp:effectExtent l="0" t="0" r="17780" b="635"/>
            <wp:docPr id="24" name="图片 24" descr="厂界定点勘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厂界定点勘测"/>
                    <pic:cNvPicPr>
                      <a:picLocks noChangeAspect="1"/>
                    </pic:cNvPicPr>
                  </pic:nvPicPr>
                  <pic:blipFill>
                    <a:blip r:embed="rId29"/>
                    <a:stretch>
                      <a:fillRect/>
                    </a:stretch>
                  </pic:blipFill>
                  <pic:spPr>
                    <a:xfrm>
                      <a:off x="0" y="0"/>
                      <a:ext cx="5259070" cy="729551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textAlignment w:val="auto"/>
        <w:rPr>
          <w:rFonts w:hint="default" w:ascii="Times New Roman" w:hAnsi="Times New Roman" w:eastAsia="宋体" w:cs="Times New Roman"/>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0"/>
        <w:rPr>
          <w:rFonts w:hint="default" w:ascii="Times New Roman" w:hAnsi="Times New Roman" w:eastAsia="宋体" w:cs="Times New Roman"/>
          <w:b/>
          <w:color w:val="auto"/>
          <w:sz w:val="28"/>
          <w:szCs w:val="28"/>
          <w:lang w:val="en-US" w:eastAsia="zh-CN"/>
        </w:rPr>
      </w:pPr>
      <w:r>
        <w:rPr>
          <w:rFonts w:hint="default" w:ascii="Times New Roman" w:hAnsi="Times New Roman" w:eastAsia="宋体" w:cs="Times New Roman"/>
          <w:b/>
          <w:color w:val="auto"/>
          <w:sz w:val="28"/>
          <w:szCs w:val="28"/>
          <w:lang w:eastAsia="zh-CN"/>
        </w:rPr>
        <w:t>附件</w:t>
      </w:r>
      <w:r>
        <w:rPr>
          <w:rFonts w:hint="default" w:ascii="Times New Roman" w:hAnsi="Times New Roman" w:eastAsia="宋体" w:cs="Times New Roman"/>
          <w:b/>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drawing>
          <wp:inline distT="0" distB="0" distL="114300" distR="114300">
            <wp:extent cx="5544185" cy="8202930"/>
            <wp:effectExtent l="0" t="0" r="18415" b="7620"/>
            <wp:docPr id="16" name="图片 16" descr="5e9dba8687f7d46371104831fb75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e9dba8687f7d46371104831fb7548c"/>
                    <pic:cNvPicPr>
                      <a:picLocks noChangeAspect="1"/>
                    </pic:cNvPicPr>
                  </pic:nvPicPr>
                  <pic:blipFill>
                    <a:blip r:embed="rId30"/>
                    <a:stretch>
                      <a:fillRect/>
                    </a:stretch>
                  </pic:blipFill>
                  <pic:spPr>
                    <a:xfrm>
                      <a:off x="0" y="0"/>
                      <a:ext cx="5544185" cy="8202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0"/>
        <w:rPr>
          <w:rFonts w:hint="default" w:ascii="Times New Roman" w:hAnsi="Times New Roman" w:eastAsia="宋体" w:cs="Times New Roman"/>
          <w:b/>
          <w:color w:val="auto"/>
          <w:sz w:val="28"/>
          <w:szCs w:val="28"/>
          <w:lang w:val="en-US" w:eastAsia="zh-CN"/>
        </w:rPr>
      </w:pPr>
      <w:r>
        <w:rPr>
          <w:rFonts w:hint="default" w:ascii="Times New Roman" w:hAnsi="Times New Roman" w:eastAsia="宋体" w:cs="Times New Roman"/>
          <w:b/>
          <w:color w:val="auto"/>
          <w:sz w:val="28"/>
          <w:szCs w:val="28"/>
          <w:lang w:eastAsia="zh-CN"/>
        </w:rPr>
        <w:t>附件</w:t>
      </w:r>
      <w:r>
        <w:rPr>
          <w:rFonts w:hint="default" w:ascii="Times New Roman" w:hAnsi="Times New Roman" w:eastAsia="宋体" w:cs="Times New Roman"/>
          <w:b/>
          <w:color w:val="auto"/>
          <w:sz w:val="28"/>
          <w:szCs w:val="28"/>
          <w:lang w:val="en-US" w:eastAsia="zh-CN"/>
        </w:rPr>
        <w:t>5</w:t>
      </w: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drawing>
          <wp:inline distT="0" distB="0" distL="114300" distR="114300">
            <wp:extent cx="5687060" cy="7940675"/>
            <wp:effectExtent l="0" t="0" r="8890" b="3175"/>
            <wp:docPr id="19" name="图片 19" descr="6932d37fb7c569e709cb16f6dce0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932d37fb7c569e709cb16f6dce0d0b"/>
                    <pic:cNvPicPr>
                      <a:picLocks noChangeAspect="1"/>
                    </pic:cNvPicPr>
                  </pic:nvPicPr>
                  <pic:blipFill>
                    <a:blip r:embed="rId31"/>
                    <a:stretch>
                      <a:fillRect/>
                    </a:stretch>
                  </pic:blipFill>
                  <pic:spPr>
                    <a:xfrm>
                      <a:off x="0" y="0"/>
                      <a:ext cx="5687060" cy="7940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drawing>
          <wp:inline distT="0" distB="0" distL="114300" distR="114300">
            <wp:extent cx="5696585" cy="8576945"/>
            <wp:effectExtent l="0" t="0" r="18415" b="14605"/>
            <wp:docPr id="18" name="图片 18" descr="39b47c9ee88834b97e8eb0dbdfd5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9b47c9ee88834b97e8eb0dbdfd5d14"/>
                    <pic:cNvPicPr>
                      <a:picLocks noChangeAspect="1"/>
                    </pic:cNvPicPr>
                  </pic:nvPicPr>
                  <pic:blipFill>
                    <a:blip r:embed="rId32"/>
                    <a:stretch>
                      <a:fillRect/>
                    </a:stretch>
                  </pic:blipFill>
                  <pic:spPr>
                    <a:xfrm>
                      <a:off x="0" y="0"/>
                      <a:ext cx="5696585" cy="8576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drawing>
          <wp:inline distT="0" distB="0" distL="114300" distR="114300">
            <wp:extent cx="5694045" cy="8656320"/>
            <wp:effectExtent l="0" t="0" r="1905" b="11430"/>
            <wp:docPr id="17" name="图片 17" descr="2a8b877b2d2353f989b5e94c6dbf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a8b877b2d2353f989b5e94c6dbf89d"/>
                    <pic:cNvPicPr>
                      <a:picLocks noChangeAspect="1"/>
                    </pic:cNvPicPr>
                  </pic:nvPicPr>
                  <pic:blipFill>
                    <a:blip r:embed="rId33"/>
                    <a:stretch>
                      <a:fillRect/>
                    </a:stretch>
                  </pic:blipFill>
                  <pic:spPr>
                    <a:xfrm>
                      <a:off x="0" y="0"/>
                      <a:ext cx="5694045" cy="8656320"/>
                    </a:xfrm>
                    <a:prstGeom prst="rect">
                      <a:avLst/>
                    </a:prstGeom>
                  </pic:spPr>
                </pic:pic>
              </a:graphicData>
            </a:graphic>
          </wp:inline>
        </w:drawing>
      </w:r>
    </w:p>
    <w:sectPr>
      <w:pgSz w:w="11906" w:h="16838"/>
      <w:pgMar w:top="1440" w:right="1463" w:bottom="1440"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97C786"/>
    <w:multiLevelType w:val="singleLevel"/>
    <w:tmpl w:val="AB97C786"/>
    <w:lvl w:ilvl="0" w:tentative="0">
      <w:start w:val="2"/>
      <w:numFmt w:val="decimal"/>
      <w:suff w:val="nothing"/>
      <w:lvlText w:val="（%1）"/>
      <w:lvlJc w:val="left"/>
    </w:lvl>
  </w:abstractNum>
  <w:abstractNum w:abstractNumId="1">
    <w:nsid w:val="B622BCDC"/>
    <w:multiLevelType w:val="singleLevel"/>
    <w:tmpl w:val="B622BCDC"/>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4MDFkMGEzMGQ4NWNiMjkwZTU5MTNhYzE1NzNkYTEifQ=="/>
  </w:docVars>
  <w:rsids>
    <w:rsidRoot w:val="284D1310"/>
    <w:rsid w:val="00184C01"/>
    <w:rsid w:val="001F7688"/>
    <w:rsid w:val="005F037B"/>
    <w:rsid w:val="00D8736A"/>
    <w:rsid w:val="00EA5F4F"/>
    <w:rsid w:val="00FC17AC"/>
    <w:rsid w:val="01296BD5"/>
    <w:rsid w:val="01DA0591"/>
    <w:rsid w:val="02D708A7"/>
    <w:rsid w:val="036F1306"/>
    <w:rsid w:val="03DA612B"/>
    <w:rsid w:val="040A1E70"/>
    <w:rsid w:val="04376748"/>
    <w:rsid w:val="046A6C0D"/>
    <w:rsid w:val="04FE421E"/>
    <w:rsid w:val="051F569F"/>
    <w:rsid w:val="05C1256C"/>
    <w:rsid w:val="06094E43"/>
    <w:rsid w:val="061F5BE8"/>
    <w:rsid w:val="065328A1"/>
    <w:rsid w:val="06CE1FBD"/>
    <w:rsid w:val="06E533D3"/>
    <w:rsid w:val="07702E6D"/>
    <w:rsid w:val="07D00F70"/>
    <w:rsid w:val="07F7533D"/>
    <w:rsid w:val="08017CA2"/>
    <w:rsid w:val="086A5818"/>
    <w:rsid w:val="088A7F5F"/>
    <w:rsid w:val="08F91816"/>
    <w:rsid w:val="09762B9E"/>
    <w:rsid w:val="0BE62553"/>
    <w:rsid w:val="0C237E7C"/>
    <w:rsid w:val="0C401B8D"/>
    <w:rsid w:val="0C7E427E"/>
    <w:rsid w:val="0CB605C6"/>
    <w:rsid w:val="0CE146B0"/>
    <w:rsid w:val="0D2564A8"/>
    <w:rsid w:val="0D2B062A"/>
    <w:rsid w:val="0DA960B9"/>
    <w:rsid w:val="0DD6083A"/>
    <w:rsid w:val="0E0E73FF"/>
    <w:rsid w:val="0E73575E"/>
    <w:rsid w:val="0E941711"/>
    <w:rsid w:val="0E9D5AAA"/>
    <w:rsid w:val="0EB67FCB"/>
    <w:rsid w:val="0F0C28F0"/>
    <w:rsid w:val="0F4124B9"/>
    <w:rsid w:val="0F4F491D"/>
    <w:rsid w:val="0F4F70C3"/>
    <w:rsid w:val="0FE268D2"/>
    <w:rsid w:val="102F495E"/>
    <w:rsid w:val="104A7DA0"/>
    <w:rsid w:val="10501EC1"/>
    <w:rsid w:val="11363D55"/>
    <w:rsid w:val="11AD137B"/>
    <w:rsid w:val="11C64B71"/>
    <w:rsid w:val="11D1174D"/>
    <w:rsid w:val="12402AA6"/>
    <w:rsid w:val="12A120F4"/>
    <w:rsid w:val="12E65467"/>
    <w:rsid w:val="12EE333C"/>
    <w:rsid w:val="13CB7DA9"/>
    <w:rsid w:val="14582098"/>
    <w:rsid w:val="15372586"/>
    <w:rsid w:val="15B37812"/>
    <w:rsid w:val="15F2778F"/>
    <w:rsid w:val="16EF75DF"/>
    <w:rsid w:val="172D6932"/>
    <w:rsid w:val="17C06C5F"/>
    <w:rsid w:val="17E01949"/>
    <w:rsid w:val="180C3609"/>
    <w:rsid w:val="18732D04"/>
    <w:rsid w:val="1881084C"/>
    <w:rsid w:val="191920E1"/>
    <w:rsid w:val="192F2B88"/>
    <w:rsid w:val="196341B7"/>
    <w:rsid w:val="1AD674A3"/>
    <w:rsid w:val="1B3F70AF"/>
    <w:rsid w:val="1B684725"/>
    <w:rsid w:val="1B716621"/>
    <w:rsid w:val="1C6A2129"/>
    <w:rsid w:val="1CB0340F"/>
    <w:rsid w:val="1CC05C52"/>
    <w:rsid w:val="1D047FDE"/>
    <w:rsid w:val="1E385649"/>
    <w:rsid w:val="1E7004A2"/>
    <w:rsid w:val="1F3C5FFF"/>
    <w:rsid w:val="20985C49"/>
    <w:rsid w:val="20BD6CCC"/>
    <w:rsid w:val="210838B5"/>
    <w:rsid w:val="21813B31"/>
    <w:rsid w:val="22234EB5"/>
    <w:rsid w:val="22596AB0"/>
    <w:rsid w:val="22C32FEA"/>
    <w:rsid w:val="2308058E"/>
    <w:rsid w:val="236D661A"/>
    <w:rsid w:val="239B43CF"/>
    <w:rsid w:val="23D45D14"/>
    <w:rsid w:val="23E91C0E"/>
    <w:rsid w:val="24033E33"/>
    <w:rsid w:val="24DB5439"/>
    <w:rsid w:val="25643EB9"/>
    <w:rsid w:val="25DF76E4"/>
    <w:rsid w:val="262B0321"/>
    <w:rsid w:val="265005E2"/>
    <w:rsid w:val="26F65630"/>
    <w:rsid w:val="27125BB0"/>
    <w:rsid w:val="277F4CDB"/>
    <w:rsid w:val="27A54DF3"/>
    <w:rsid w:val="27B06DE9"/>
    <w:rsid w:val="282D3AB1"/>
    <w:rsid w:val="284D1310"/>
    <w:rsid w:val="28FE2525"/>
    <w:rsid w:val="2932630A"/>
    <w:rsid w:val="2A33266B"/>
    <w:rsid w:val="2A630400"/>
    <w:rsid w:val="2B6C14D0"/>
    <w:rsid w:val="2B861AF6"/>
    <w:rsid w:val="2B983DFD"/>
    <w:rsid w:val="2C3A5F72"/>
    <w:rsid w:val="2C8928FE"/>
    <w:rsid w:val="2CA96AC9"/>
    <w:rsid w:val="2CCC0E0B"/>
    <w:rsid w:val="2D6A0E13"/>
    <w:rsid w:val="2D7E4791"/>
    <w:rsid w:val="2DF42758"/>
    <w:rsid w:val="2E943E6F"/>
    <w:rsid w:val="303E0A3F"/>
    <w:rsid w:val="304C38EA"/>
    <w:rsid w:val="30BA40EC"/>
    <w:rsid w:val="30D4749C"/>
    <w:rsid w:val="310877AF"/>
    <w:rsid w:val="31171FB0"/>
    <w:rsid w:val="32277A61"/>
    <w:rsid w:val="323658D2"/>
    <w:rsid w:val="33DD51C6"/>
    <w:rsid w:val="33F7120E"/>
    <w:rsid w:val="3434509F"/>
    <w:rsid w:val="34850AF6"/>
    <w:rsid w:val="35727C2D"/>
    <w:rsid w:val="35951B6D"/>
    <w:rsid w:val="36B9754D"/>
    <w:rsid w:val="36E37BB0"/>
    <w:rsid w:val="37600E2C"/>
    <w:rsid w:val="38206066"/>
    <w:rsid w:val="392B4CF9"/>
    <w:rsid w:val="39917CA4"/>
    <w:rsid w:val="399727FE"/>
    <w:rsid w:val="3A386080"/>
    <w:rsid w:val="3A5C4A75"/>
    <w:rsid w:val="3AD5601F"/>
    <w:rsid w:val="3B9F5DB6"/>
    <w:rsid w:val="3C4E1B39"/>
    <w:rsid w:val="3C530288"/>
    <w:rsid w:val="3C773880"/>
    <w:rsid w:val="3CD832BA"/>
    <w:rsid w:val="3D471E51"/>
    <w:rsid w:val="3D7418CA"/>
    <w:rsid w:val="3D906C8D"/>
    <w:rsid w:val="3DE773C5"/>
    <w:rsid w:val="3E011945"/>
    <w:rsid w:val="3E605A2C"/>
    <w:rsid w:val="3EDD42F6"/>
    <w:rsid w:val="3FC6597F"/>
    <w:rsid w:val="3FED4F8C"/>
    <w:rsid w:val="416C712C"/>
    <w:rsid w:val="422917AB"/>
    <w:rsid w:val="42AF27E7"/>
    <w:rsid w:val="42E004C8"/>
    <w:rsid w:val="43B6787E"/>
    <w:rsid w:val="43DA5F47"/>
    <w:rsid w:val="43F55E79"/>
    <w:rsid w:val="44384FA7"/>
    <w:rsid w:val="4487454E"/>
    <w:rsid w:val="44916D5E"/>
    <w:rsid w:val="44BF2763"/>
    <w:rsid w:val="450D0D63"/>
    <w:rsid w:val="452B172F"/>
    <w:rsid w:val="453C78D0"/>
    <w:rsid w:val="45455B74"/>
    <w:rsid w:val="459B0FFB"/>
    <w:rsid w:val="459F41F3"/>
    <w:rsid w:val="46C52BA7"/>
    <w:rsid w:val="47B32C7D"/>
    <w:rsid w:val="47C500E1"/>
    <w:rsid w:val="4814181B"/>
    <w:rsid w:val="49146082"/>
    <w:rsid w:val="49263B9C"/>
    <w:rsid w:val="492E7EB7"/>
    <w:rsid w:val="49673DA3"/>
    <w:rsid w:val="49754808"/>
    <w:rsid w:val="4A392CF5"/>
    <w:rsid w:val="4A484FA8"/>
    <w:rsid w:val="4B9D6543"/>
    <w:rsid w:val="4CF3569F"/>
    <w:rsid w:val="4D086C5F"/>
    <w:rsid w:val="4DE202A7"/>
    <w:rsid w:val="4E1D6A43"/>
    <w:rsid w:val="505056FF"/>
    <w:rsid w:val="50935F15"/>
    <w:rsid w:val="50C12E9B"/>
    <w:rsid w:val="510E045D"/>
    <w:rsid w:val="51430F4F"/>
    <w:rsid w:val="51F07579"/>
    <w:rsid w:val="520B0B7A"/>
    <w:rsid w:val="52815519"/>
    <w:rsid w:val="52B9738E"/>
    <w:rsid w:val="549D3B49"/>
    <w:rsid w:val="55584E83"/>
    <w:rsid w:val="56036C61"/>
    <w:rsid w:val="56486A5C"/>
    <w:rsid w:val="56E94111"/>
    <w:rsid w:val="571D4D41"/>
    <w:rsid w:val="572528F9"/>
    <w:rsid w:val="573C6992"/>
    <w:rsid w:val="57A37EFE"/>
    <w:rsid w:val="586B07E0"/>
    <w:rsid w:val="58AA30B2"/>
    <w:rsid w:val="58E07AC9"/>
    <w:rsid w:val="59920B91"/>
    <w:rsid w:val="59B63EFE"/>
    <w:rsid w:val="59F9427F"/>
    <w:rsid w:val="5A4922E2"/>
    <w:rsid w:val="5A8C637B"/>
    <w:rsid w:val="5AB84915"/>
    <w:rsid w:val="5B782158"/>
    <w:rsid w:val="5BA950FB"/>
    <w:rsid w:val="5CF756C5"/>
    <w:rsid w:val="5D5D01A2"/>
    <w:rsid w:val="5DB0203D"/>
    <w:rsid w:val="5E9C5FCB"/>
    <w:rsid w:val="5EC76A9E"/>
    <w:rsid w:val="5F794F14"/>
    <w:rsid w:val="5F7E05AF"/>
    <w:rsid w:val="5FC541F5"/>
    <w:rsid w:val="5FD1332F"/>
    <w:rsid w:val="610417D1"/>
    <w:rsid w:val="61635BF2"/>
    <w:rsid w:val="617878A1"/>
    <w:rsid w:val="61867FCB"/>
    <w:rsid w:val="622F6FF7"/>
    <w:rsid w:val="626111FF"/>
    <w:rsid w:val="62C2288E"/>
    <w:rsid w:val="62E35636"/>
    <w:rsid w:val="63B061A3"/>
    <w:rsid w:val="63EA2E0D"/>
    <w:rsid w:val="64134763"/>
    <w:rsid w:val="65273B99"/>
    <w:rsid w:val="65B36413"/>
    <w:rsid w:val="65D87F55"/>
    <w:rsid w:val="664E36E7"/>
    <w:rsid w:val="66EC3C8D"/>
    <w:rsid w:val="6708431F"/>
    <w:rsid w:val="674B64F5"/>
    <w:rsid w:val="6781030C"/>
    <w:rsid w:val="67B764A3"/>
    <w:rsid w:val="6842705E"/>
    <w:rsid w:val="695952FF"/>
    <w:rsid w:val="696A5A5D"/>
    <w:rsid w:val="69972F20"/>
    <w:rsid w:val="6A077F06"/>
    <w:rsid w:val="6A195677"/>
    <w:rsid w:val="6AA44321"/>
    <w:rsid w:val="6ACB3360"/>
    <w:rsid w:val="6B94398F"/>
    <w:rsid w:val="6BC17635"/>
    <w:rsid w:val="6CF536F4"/>
    <w:rsid w:val="6CFA6536"/>
    <w:rsid w:val="6CFF12E9"/>
    <w:rsid w:val="6DBE0ED5"/>
    <w:rsid w:val="6EAB35E0"/>
    <w:rsid w:val="6F1D510C"/>
    <w:rsid w:val="6F941954"/>
    <w:rsid w:val="7039292C"/>
    <w:rsid w:val="709F6796"/>
    <w:rsid w:val="71125910"/>
    <w:rsid w:val="71324D55"/>
    <w:rsid w:val="71681909"/>
    <w:rsid w:val="718755B0"/>
    <w:rsid w:val="71A52B5D"/>
    <w:rsid w:val="71AA2BF5"/>
    <w:rsid w:val="72757286"/>
    <w:rsid w:val="72BD1C27"/>
    <w:rsid w:val="73136367"/>
    <w:rsid w:val="73235C24"/>
    <w:rsid w:val="734B7A08"/>
    <w:rsid w:val="73692127"/>
    <w:rsid w:val="73C05A2C"/>
    <w:rsid w:val="73DB6D72"/>
    <w:rsid w:val="73FC3121"/>
    <w:rsid w:val="743261FE"/>
    <w:rsid w:val="74CC6893"/>
    <w:rsid w:val="74D60E55"/>
    <w:rsid w:val="761621DC"/>
    <w:rsid w:val="76615434"/>
    <w:rsid w:val="76870B42"/>
    <w:rsid w:val="76A1772F"/>
    <w:rsid w:val="76CA59F4"/>
    <w:rsid w:val="76D65566"/>
    <w:rsid w:val="76DB5631"/>
    <w:rsid w:val="771B4EE0"/>
    <w:rsid w:val="773D1DB6"/>
    <w:rsid w:val="7863563F"/>
    <w:rsid w:val="78883A5D"/>
    <w:rsid w:val="789F082B"/>
    <w:rsid w:val="7960764B"/>
    <w:rsid w:val="79A90D10"/>
    <w:rsid w:val="79B504EA"/>
    <w:rsid w:val="79B64624"/>
    <w:rsid w:val="7A491A8D"/>
    <w:rsid w:val="7A520473"/>
    <w:rsid w:val="7ABA2BAB"/>
    <w:rsid w:val="7AFE1AB8"/>
    <w:rsid w:val="7B4E0D71"/>
    <w:rsid w:val="7BFA1097"/>
    <w:rsid w:val="7C6B4E03"/>
    <w:rsid w:val="7CA11B9B"/>
    <w:rsid w:val="7CC961D3"/>
    <w:rsid w:val="7D217FE3"/>
    <w:rsid w:val="7D763D3C"/>
    <w:rsid w:val="7DE642E1"/>
    <w:rsid w:val="7E5606B8"/>
    <w:rsid w:val="7E634E80"/>
    <w:rsid w:val="7E687585"/>
    <w:rsid w:val="7EED793A"/>
    <w:rsid w:val="7EF56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outlineLvl w:val="0"/>
    </w:pPr>
    <w:rPr>
      <w:rFonts w:eastAsia="黑体"/>
      <w:b/>
      <w:bCs/>
      <w:kern w:val="44"/>
      <w:sz w:val="30"/>
      <w:szCs w:val="44"/>
    </w:rPr>
  </w:style>
  <w:style w:type="paragraph" w:styleId="5">
    <w:name w:val="heading 2"/>
    <w:basedOn w:val="1"/>
    <w:next w:val="1"/>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widowControl w:val="0"/>
      <w:spacing w:after="120" w:afterLines="0"/>
      <w:ind w:left="420" w:firstLine="420" w:firstLineChars="200"/>
      <w:jc w:val="both"/>
    </w:pPr>
    <w:rPr>
      <w:rFonts w:ascii="Times New Roman" w:hAnsi="Times New Roman"/>
      <w:kern w:val="2"/>
      <w:sz w:val="21"/>
      <w:szCs w:val="20"/>
      <w:lang w:eastAsia="zh-CN" w:bidi="ar-SA"/>
    </w:rPr>
  </w:style>
  <w:style w:type="paragraph" w:styleId="3">
    <w:name w:val="Body Text Indent"/>
    <w:basedOn w:val="1"/>
    <w:next w:val="1"/>
    <w:qFormat/>
    <w:uiPriority w:val="0"/>
    <w:pPr>
      <w:widowControl/>
      <w:spacing w:after="312" w:afterLines="100"/>
      <w:ind w:left="200" w:leftChars="200"/>
      <w:jc w:val="left"/>
    </w:pPr>
    <w:rPr>
      <w:rFonts w:ascii="Calibri" w:hAnsi="Calibri"/>
      <w:kern w:val="0"/>
      <w:sz w:val="24"/>
      <w:szCs w:val="22"/>
      <w:lang w:eastAsia="en-US" w:bidi="en-US"/>
    </w:rPr>
  </w:style>
  <w:style w:type="paragraph" w:styleId="7">
    <w:name w:val="Normal Indent"/>
    <w:basedOn w:val="1"/>
    <w:next w:val="2"/>
    <w:qFormat/>
    <w:uiPriority w:val="0"/>
    <w:pPr>
      <w:ind w:firstLine="420" w:firstLineChars="200"/>
    </w:pPr>
  </w:style>
  <w:style w:type="paragraph" w:styleId="8">
    <w:name w:val="caption"/>
    <w:basedOn w:val="1"/>
    <w:next w:val="1"/>
    <w:qFormat/>
    <w:uiPriority w:val="0"/>
    <w:pPr>
      <w:spacing w:beforeLines="50" w:line="360" w:lineRule="auto"/>
      <w:jc w:val="center"/>
    </w:pPr>
    <w:rPr>
      <w:rFonts w:cs="Arial"/>
      <w:b/>
      <w:szCs w:val="20"/>
    </w:rPr>
  </w:style>
  <w:style w:type="paragraph" w:styleId="9">
    <w:name w:val="annotation text"/>
    <w:basedOn w:val="1"/>
    <w:qFormat/>
    <w:uiPriority w:val="0"/>
    <w:pPr>
      <w:jc w:val="left"/>
    </w:pPr>
  </w:style>
  <w:style w:type="paragraph" w:styleId="10">
    <w:name w:val="Body Text"/>
    <w:basedOn w:val="1"/>
    <w:next w:val="11"/>
    <w:qFormat/>
    <w:uiPriority w:val="0"/>
    <w:pPr>
      <w:jc w:val="left"/>
    </w:pPr>
    <w:rPr>
      <w:sz w:val="24"/>
    </w:rPr>
  </w:style>
  <w:style w:type="paragraph" w:styleId="11">
    <w:name w:val="List Bullet 5"/>
    <w:basedOn w:val="1"/>
    <w:qFormat/>
    <w:uiPriority w:val="0"/>
    <w:pPr>
      <w:numPr>
        <w:ilvl w:val="0"/>
        <w:numId w:val="1"/>
      </w:numPr>
    </w:pPr>
  </w:style>
  <w:style w:type="paragraph" w:styleId="12">
    <w:name w:val="Plain Text"/>
    <w:basedOn w:val="1"/>
    <w:qFormat/>
    <w:uiPriority w:val="0"/>
    <w:rPr>
      <w:rFonts w:ascii="宋体" w:hAnsi="Courier New"/>
    </w:rPr>
  </w:style>
  <w:style w:type="paragraph" w:styleId="13">
    <w:name w:val="Body Text Indent 2"/>
    <w:basedOn w:val="1"/>
    <w:qFormat/>
    <w:uiPriority w:val="0"/>
    <w:pPr>
      <w:spacing w:line="540" w:lineRule="exact"/>
      <w:ind w:firstLine="480" w:firstLineChars="200"/>
    </w:pPr>
    <w:rPr>
      <w:sz w:val="24"/>
    </w:rPr>
  </w:style>
  <w:style w:type="paragraph" w:styleId="14">
    <w:name w:val="endnote text"/>
    <w:basedOn w:val="1"/>
    <w:qFormat/>
    <w:uiPriority w:val="0"/>
    <w:pPr>
      <w:snapToGrid w:val="0"/>
      <w:jc w:val="left"/>
    </w:pPr>
  </w:style>
  <w:style w:type="paragraph" w:styleId="15">
    <w:name w:val="footer"/>
    <w:basedOn w:val="1"/>
    <w:link w:val="42"/>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List"/>
    <w:basedOn w:val="1"/>
    <w:qFormat/>
    <w:uiPriority w:val="0"/>
    <w:pPr>
      <w:jc w:val="center"/>
    </w:pPr>
    <w:rPr>
      <w:rFonts w:ascii="宋体" w:hAnsi="宋体"/>
      <w:spacing w:val="8"/>
    </w:rPr>
  </w:style>
  <w:style w:type="paragraph" w:styleId="18">
    <w:name w:val="Body Text Indent 3"/>
    <w:basedOn w:val="1"/>
    <w:qFormat/>
    <w:uiPriority w:val="0"/>
    <w:pPr>
      <w:spacing w:line="360" w:lineRule="auto"/>
      <w:ind w:firstLine="480" w:firstLineChars="200"/>
      <w:jc w:val="left"/>
    </w:pPr>
    <w:rPr>
      <w:rFonts w:ascii="宋体"/>
      <w:sz w:val="24"/>
    </w:rPr>
  </w:style>
  <w:style w:type="paragraph" w:styleId="19">
    <w:name w:val="toc 2"/>
    <w:basedOn w:val="1"/>
    <w:next w:val="1"/>
    <w:semiHidden/>
    <w:qFormat/>
    <w:uiPriority w:val="0"/>
    <w:pPr>
      <w:ind w:left="420" w:leftChars="200"/>
    </w:p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basedOn w:val="10"/>
    <w:next w:val="1"/>
    <w:qFormat/>
    <w:uiPriority w:val="0"/>
    <w:pPr>
      <w:spacing w:after="120"/>
      <w:ind w:firstLine="420" w:firstLineChars="100"/>
      <w:jc w:val="both"/>
    </w:pPr>
    <w:rPr>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qFormat/>
    <w:uiPriority w:val="20"/>
    <w:rPr>
      <w:i/>
      <w:iCs/>
    </w:rPr>
  </w:style>
  <w:style w:type="character" w:styleId="26">
    <w:name w:val="Hyperlink"/>
    <w:basedOn w:val="24"/>
    <w:qFormat/>
    <w:uiPriority w:val="0"/>
    <w:rPr>
      <w:color w:val="0000FF"/>
      <w:u w:val="single"/>
    </w:rPr>
  </w:style>
  <w:style w:type="character" w:styleId="27">
    <w:name w:val="annotation reference"/>
    <w:basedOn w:val="24"/>
    <w:qFormat/>
    <w:uiPriority w:val="0"/>
    <w:rPr>
      <w:sz w:val="21"/>
      <w:szCs w:val="21"/>
    </w:rPr>
  </w:style>
  <w:style w:type="paragraph" w:customStyle="1" w:styleId="28">
    <w:name w:val="[1]正文"/>
    <w:basedOn w:val="1"/>
    <w:qFormat/>
    <w:uiPriority w:val="0"/>
    <w:pPr>
      <w:widowControl/>
      <w:snapToGrid w:val="0"/>
      <w:spacing w:line="360" w:lineRule="auto"/>
      <w:ind w:firstLine="200" w:firstLineChars="200"/>
      <w:jc w:val="left"/>
    </w:pPr>
    <w:rPr>
      <w:rFonts w:ascii="Calibri" w:hAnsi="Calibri"/>
      <w:kern w:val="0"/>
      <w:sz w:val="24"/>
      <w:szCs w:val="28"/>
    </w:rPr>
  </w:style>
  <w:style w:type="paragraph" w:customStyle="1" w:styleId="29">
    <w:name w:val="表格"/>
    <w:basedOn w:val="7"/>
    <w:next w:val="1"/>
    <w:qFormat/>
    <w:uiPriority w:val="0"/>
    <w:pPr>
      <w:jc w:val="center"/>
    </w:pPr>
    <w:rPr>
      <w:rFonts w:ascii="Times New Roman" w:hAnsi="Times New Roman"/>
    </w:rPr>
  </w:style>
  <w:style w:type="character" w:customStyle="1" w:styleId="30">
    <w:name w:val="font11"/>
    <w:basedOn w:val="24"/>
    <w:qFormat/>
    <w:uiPriority w:val="0"/>
    <w:rPr>
      <w:rFonts w:hint="default" w:ascii="Times New Roman" w:hAnsi="Times New Roman" w:cs="Times New Roman"/>
      <w:color w:val="000000"/>
      <w:sz w:val="20"/>
      <w:u w:val="none"/>
    </w:rPr>
  </w:style>
  <w:style w:type="paragraph" w:customStyle="1" w:styleId="31">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2">
    <w:name w:val="正文11"/>
    <w:basedOn w:val="1"/>
    <w:qFormat/>
    <w:uiPriority w:val="0"/>
    <w:pPr>
      <w:tabs>
        <w:tab w:val="left" w:pos="2093"/>
      </w:tabs>
      <w:adjustRightInd w:val="0"/>
      <w:spacing w:line="360" w:lineRule="auto"/>
      <w:ind w:firstLine="360" w:firstLineChars="150"/>
    </w:pPr>
    <w:rPr>
      <w:rFonts w:ascii="宋体" w:hAnsi="宋体"/>
      <w:sz w:val="24"/>
    </w:rPr>
  </w:style>
  <w:style w:type="paragraph" w:customStyle="1" w:styleId="33">
    <w:name w:val="Table Paragraph"/>
    <w:basedOn w:val="1"/>
    <w:qFormat/>
    <w:uiPriority w:val="1"/>
  </w:style>
  <w:style w:type="paragraph" w:customStyle="1" w:styleId="34">
    <w:name w:val="正文1"/>
    <w:basedOn w:val="15"/>
    <w:next w:val="1"/>
    <w:qFormat/>
    <w:uiPriority w:val="0"/>
    <w:pPr>
      <w:adjustRightInd w:val="0"/>
      <w:spacing w:line="420" w:lineRule="atLeast"/>
      <w:jc w:val="both"/>
      <w:textAlignment w:val="baseline"/>
    </w:pPr>
    <w:rPr>
      <w:rFonts w:ascii="宋体" w:hAnsi="Calibri" w:eastAsia="宋体" w:cs="Times New Roman"/>
      <w:sz w:val="28"/>
    </w:rPr>
  </w:style>
  <w:style w:type="paragraph" w:customStyle="1" w:styleId="35">
    <w:name w:val="正文—高"/>
    <w:basedOn w:val="1"/>
    <w:qFormat/>
    <w:uiPriority w:val="0"/>
    <w:pPr>
      <w:overflowPunct w:val="0"/>
      <w:topLinePunct/>
      <w:autoSpaceDE w:val="0"/>
      <w:autoSpaceDN w:val="0"/>
      <w:spacing w:line="480" w:lineRule="exact"/>
      <w:ind w:firstLine="480" w:firstLineChars="200"/>
    </w:pPr>
    <w:rPr>
      <w:rFonts w:ascii="Calibri" w:hAnsi="Calibri"/>
      <w:color w:val="000000"/>
      <w:kern w:val="24"/>
      <w:sz w:val="24"/>
      <w:szCs w:val="22"/>
    </w:rPr>
  </w:style>
  <w:style w:type="paragraph" w:customStyle="1" w:styleId="36">
    <w:name w:val="列表(L)"/>
    <w:basedOn w:val="17"/>
    <w:qFormat/>
    <w:uiPriority w:val="0"/>
    <w:pPr>
      <w:snapToGrid w:val="0"/>
    </w:pPr>
    <w:rPr>
      <w:rFonts w:eastAsia="仿宋_GB2312"/>
      <w:kern w:val="0"/>
      <w:sz w:val="20"/>
      <w:szCs w:val="20"/>
    </w:rPr>
  </w:style>
  <w:style w:type="paragraph" w:customStyle="1" w:styleId="37">
    <w:name w:val="表格标题w"/>
    <w:basedOn w:val="1"/>
    <w:qFormat/>
    <w:uiPriority w:val="0"/>
    <w:pPr>
      <w:keepNext/>
      <w:adjustRightInd w:val="0"/>
      <w:spacing w:line="440" w:lineRule="exact"/>
      <w:jc w:val="center"/>
    </w:pPr>
    <w:rPr>
      <w:rFonts w:cs="Arial"/>
      <w:b/>
      <w:szCs w:val="21"/>
    </w:rPr>
  </w:style>
  <w:style w:type="paragraph" w:customStyle="1" w:styleId="38">
    <w:name w:val="报告正文"/>
    <w:basedOn w:val="1"/>
    <w:qFormat/>
    <w:uiPriority w:val="0"/>
    <w:pPr>
      <w:spacing w:line="360" w:lineRule="auto"/>
      <w:ind w:firstLine="480" w:firstLineChars="200"/>
    </w:pPr>
    <w:rPr>
      <w:sz w:val="24"/>
    </w:rPr>
  </w:style>
  <w:style w:type="paragraph" w:customStyle="1" w:styleId="39">
    <w:name w:val="HP 正文"/>
    <w:basedOn w:val="1"/>
    <w:qFormat/>
    <w:uiPriority w:val="0"/>
    <w:pPr>
      <w:autoSpaceDE w:val="0"/>
      <w:autoSpaceDN w:val="0"/>
      <w:adjustRightInd w:val="0"/>
      <w:ind w:firstLine="200"/>
    </w:pPr>
  </w:style>
  <w:style w:type="paragraph" w:customStyle="1" w:styleId="40">
    <w:name w:val="ENFI表体格式"/>
    <w:basedOn w:val="1"/>
    <w:qFormat/>
    <w:uiPriority w:val="0"/>
    <w:pPr>
      <w:widowControl/>
      <w:adjustRightInd w:val="0"/>
      <w:snapToGrid w:val="0"/>
      <w:spacing w:line="240" w:lineRule="atLeast"/>
      <w:jc w:val="center"/>
    </w:pPr>
    <w:rPr>
      <w:rFonts w:eastAsia="仿宋_GB2312"/>
      <w:b/>
      <w:kern w:val="0"/>
      <w:sz w:val="24"/>
    </w:rPr>
  </w:style>
  <w:style w:type="paragraph" w:customStyle="1" w:styleId="41">
    <w:name w:val="报告表正文"/>
    <w:basedOn w:val="13"/>
    <w:next w:val="13"/>
    <w:qFormat/>
    <w:uiPriority w:val="0"/>
    <w:pPr>
      <w:spacing w:line="360" w:lineRule="auto"/>
      <w:ind w:firstLine="200"/>
    </w:pPr>
  </w:style>
  <w:style w:type="character" w:customStyle="1" w:styleId="42">
    <w:name w:val="页脚 字符"/>
    <w:basedOn w:val="24"/>
    <w:link w:val="15"/>
    <w:qFormat/>
    <w:uiPriority w:val="0"/>
    <w:rPr>
      <w:rFonts w:hint="default" w:ascii="Calibri" w:hAnsi="Calibri" w:eastAsia="宋体" w:cs="Times New Roman"/>
      <w:kern w:val="2"/>
      <w:sz w:val="18"/>
      <w:szCs w:val="18"/>
    </w:rPr>
  </w:style>
  <w:style w:type="paragraph" w:customStyle="1" w:styleId="43">
    <w:name w:val="TIE-表格内2级标题"/>
    <w:basedOn w:val="1"/>
    <w:qFormat/>
    <w:uiPriority w:val="0"/>
    <w:pPr>
      <w:wordWrap w:val="0"/>
      <w:topLinePunct/>
      <w:jc w:val="left"/>
    </w:pPr>
    <w:rPr>
      <w:rFonts w:eastAsia="Times New Roman"/>
      <w:b/>
    </w:rPr>
  </w:style>
  <w:style w:type="paragraph" w:customStyle="1" w:styleId="44">
    <w:name w:val="TIE，表头，图头"/>
    <w:basedOn w:val="1"/>
    <w:qFormat/>
    <w:uiPriority w:val="0"/>
    <w:pPr>
      <w:jc w:val="center"/>
    </w:pPr>
    <w:rPr>
      <w:rFonts w:eastAsia="Times New Roman"/>
      <w:b/>
    </w:rPr>
  </w:style>
  <w:style w:type="paragraph" w:customStyle="1" w:styleId="45">
    <w:name w:val="TIE-表格内容"/>
    <w:basedOn w:val="1"/>
    <w:qFormat/>
    <w:uiPriority w:val="0"/>
    <w:pPr>
      <w:overflowPunct w:val="0"/>
      <w:topLinePunct/>
      <w:spacing w:line="360" w:lineRule="exact"/>
      <w:jc w:val="center"/>
      <w:textAlignment w:val="center"/>
    </w:pPr>
    <w:rPr>
      <w:szCs w:val="22"/>
    </w:rPr>
  </w:style>
  <w:style w:type="character" w:customStyle="1" w:styleId="46">
    <w:name w:val="文章正文 Char Char"/>
    <w:qFormat/>
    <w:uiPriority w:val="0"/>
    <w:rPr>
      <w:kern w:val="0"/>
      <w:sz w:val="24"/>
    </w:rPr>
  </w:style>
  <w:style w:type="paragraph" w:customStyle="1" w:styleId="47">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48">
    <w:name w:val="正文w"/>
    <w:basedOn w:val="1"/>
    <w:qFormat/>
    <w:uiPriority w:val="0"/>
    <w:pPr>
      <w:spacing w:before="156" w:beforeLines="50" w:line="440" w:lineRule="exact"/>
      <w:ind w:firstLine="200" w:firstLineChars="200"/>
    </w:pPr>
    <w:rPr>
      <w:rFonts w:ascii="Arial" w:hAnsi="Arial"/>
      <w:sz w:val="24"/>
    </w:rPr>
  </w:style>
  <w:style w:type="paragraph" w:customStyle="1" w:styleId="49">
    <w:name w:val="正式表格"/>
    <w:basedOn w:val="1"/>
    <w:qFormat/>
    <w:uiPriority w:val="0"/>
    <w:pPr>
      <w:widowControl/>
      <w:contextualSpacing/>
      <w:jc w:val="center"/>
    </w:pPr>
    <w:rPr>
      <w:bCs/>
      <w:color w:val="000000"/>
      <w:kern w:val="0"/>
      <w:sz w:val="20"/>
      <w:szCs w:val="28"/>
    </w:rPr>
  </w:style>
  <w:style w:type="paragraph" w:customStyle="1" w:styleId="50">
    <w:name w:val="ALT+C"/>
    <w:basedOn w:val="1"/>
    <w:qFormat/>
    <w:uiPriority w:val="0"/>
    <w:pPr>
      <w:keepNext/>
      <w:spacing w:line="360" w:lineRule="auto"/>
      <w:ind w:firstLine="480" w:firstLineChars="200"/>
    </w:pPr>
    <w:rPr>
      <w:sz w:val="24"/>
    </w:rPr>
  </w:style>
  <w:style w:type="paragraph" w:customStyle="1" w:styleId="51">
    <w:name w:val="表文字xxxxxxxx"/>
    <w:basedOn w:val="1"/>
    <w:qFormat/>
    <w:uiPriority w:val="0"/>
    <w:pPr>
      <w:topLinePunct/>
      <w:adjustRightInd w:val="0"/>
      <w:spacing w:line="360" w:lineRule="exact"/>
      <w:jc w:val="center"/>
      <w:textAlignment w:val="baseline"/>
    </w:pPr>
    <w:rPr>
      <w:rFonts w:eastAsia="宋体"/>
      <w:szCs w:val="21"/>
    </w:rPr>
  </w:style>
  <w:style w:type="paragraph" w:customStyle="1" w:styleId="52">
    <w:name w:val="Body Text First Indent1"/>
    <w:basedOn w:val="10"/>
    <w:qFormat/>
    <w:uiPriority w:val="0"/>
    <w:pPr>
      <w:pBdr>
        <w:top w:val="none" w:color="auto" w:sz="0" w:space="1"/>
        <w:left w:val="none" w:color="auto" w:sz="0" w:space="4"/>
        <w:bottom w:val="none" w:color="auto" w:sz="0" w:space="1"/>
        <w:right w:val="none" w:color="auto" w:sz="0" w:space="4"/>
      </w:pBdr>
      <w:jc w:val="both"/>
    </w:pPr>
    <w:rPr>
      <w:rFonts w:ascii="Times New Roman" w:hAnsi="Times New Roman"/>
      <w:sz w:val="21"/>
    </w:rPr>
  </w:style>
  <w:style w:type="paragraph" w:customStyle="1" w:styleId="53">
    <w:name w:val="表格内容5号"/>
    <w:qFormat/>
    <w:uiPriority w:val="0"/>
    <w:pPr>
      <w:widowControl w:val="0"/>
      <w:snapToGrid w:val="0"/>
      <w:spacing w:line="240" w:lineRule="atLeast"/>
      <w:jc w:val="center"/>
    </w:pPr>
    <w:rPr>
      <w:rFonts w:ascii="Times New Roman" w:hAnsi="Times New Roman" w:eastAsia="Times New Roman" w:cs="Times New Roman"/>
      <w:kern w:val="2"/>
      <w:sz w:val="21"/>
      <w:szCs w:val="24"/>
      <w:lang w:val="en-US" w:eastAsia="zh-CN" w:bidi="ar-SA"/>
    </w:rPr>
  </w:style>
  <w:style w:type="paragraph" w:customStyle="1" w:styleId="54">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55">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56">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57">
    <w:name w:val="p0"/>
    <w:basedOn w:val="1"/>
    <w:qFormat/>
    <w:uiPriority w:val="0"/>
    <w:pPr>
      <w:widowControl/>
    </w:pPr>
    <w:rPr>
      <w:kern w:val="0"/>
      <w:szCs w:val="21"/>
    </w:rPr>
  </w:style>
  <w:style w:type="paragraph" w:customStyle="1" w:styleId="58">
    <w:name w:val="表格样式"/>
    <w:basedOn w:val="1"/>
    <w:qFormat/>
    <w:uiPriority w:val="0"/>
    <w:pPr>
      <w:widowControl/>
      <w:spacing w:line="360" w:lineRule="auto"/>
      <w:jc w:val="center"/>
    </w:pPr>
    <w:rPr>
      <w:rFonts w:ascii="Calibri" w:hAnsi="Calibri"/>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wmf"/><Relationship Id="rId13" Type="http://schemas.openxmlformats.org/officeDocument/2006/relationships/oleObject" Target="embeddings/oleObject4.bin"/><Relationship Id="rId12" Type="http://schemas.openxmlformats.org/officeDocument/2006/relationships/image" Target="media/image5.wmf"/><Relationship Id="rId11" Type="http://schemas.openxmlformats.org/officeDocument/2006/relationships/oleObject" Target="embeddings/oleObject3.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28356</Words>
  <Characters>33233</Characters>
  <Lines>145</Lines>
  <Paragraphs>40</Paragraphs>
  <TotalTime>12</TotalTime>
  <ScaleCrop>false</ScaleCrop>
  <LinksUpToDate>false</LinksUpToDate>
  <CharactersWithSpaces>33532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2021-03-18T01:30:00Z</dcterms:created>
  <dc:creator>旭昶</dc:creator>
  <cp:lastModifiedBy>旭昶</cp:lastModifiedBy>
  <cp:lastPrinted>2022-09-15T08:52:00Z</cp:lastPrinted>
  <dcterms:modified xsi:type="dcterms:W3CDTF">2022-10-19T08:09:13Z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50607D691DE044E6A9F7F2814DEF207B</vt:lpwstr>
  </property>
</Properties>
</file>