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wmf" ContentType="image/x-wmf"/>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eastAsia" w:ascii="Times New Roman" w:hAnsi="Times New Roman" w:eastAsia="宋体" w:cs="Times New Roman"/>
          <w:b/>
          <w:bCs/>
          <w:color w:val="auto"/>
          <w:sz w:val="36"/>
          <w:szCs w:val="36"/>
          <w:highlight w:val="none"/>
          <w:lang w:eastAsia="zh-CN"/>
        </w:rPr>
      </w:pPr>
      <w:r>
        <w:rPr>
          <w:rFonts w:hint="eastAsia" w:ascii="Times New Roman" w:hAnsi="Times New Roman" w:eastAsia="宋体" w:cs="Times New Roman"/>
          <w:b/>
          <w:bCs/>
          <w:color w:val="auto"/>
          <w:sz w:val="36"/>
          <w:szCs w:val="36"/>
          <w:highlight w:val="none"/>
          <w:lang w:eastAsia="zh-CN"/>
        </w:rPr>
        <w:drawing>
          <wp:inline distT="0" distB="0" distL="114300" distR="114300">
            <wp:extent cx="5271135" cy="7453630"/>
            <wp:effectExtent l="0" t="0" r="5715" b="13970"/>
            <wp:docPr id="51" name="图片 51" descr="建设项目环境影响报告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建设项目环境影响报告表_00"/>
                    <pic:cNvPicPr>
                      <a:picLocks noChangeAspect="1"/>
                    </pic:cNvPicPr>
                  </pic:nvPicPr>
                  <pic:blipFill>
                    <a:blip r:embed="rId8"/>
                    <a:stretch>
                      <a:fillRect/>
                    </a:stretch>
                  </pic:blipFill>
                  <pic:spPr>
                    <a:xfrm>
                      <a:off x="0" y="0"/>
                      <a:ext cx="5271135" cy="7453630"/>
                    </a:xfrm>
                    <a:prstGeom prst="rect">
                      <a:avLst/>
                    </a:prstGeom>
                  </pic:spPr>
                </pic:pic>
              </a:graphicData>
            </a:graphic>
          </wp:inline>
        </w:drawing>
      </w:r>
      <w:r>
        <w:drawing>
          <wp:inline distT="0" distB="0" distL="114300" distR="114300">
            <wp:extent cx="5259070" cy="7437755"/>
            <wp:effectExtent l="0" t="0" r="17780" b="10795"/>
            <wp:docPr id="5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0"/>
                    <pic:cNvPicPr>
                      <a:picLocks noChangeAspect="1"/>
                    </pic:cNvPicPr>
                  </pic:nvPicPr>
                  <pic:blipFill>
                    <a:blip r:embed="rId9"/>
                    <a:stretch>
                      <a:fillRect/>
                    </a:stretch>
                  </pic:blipFill>
                  <pic:spPr>
                    <a:xfrm>
                      <a:off x="0" y="0"/>
                      <a:ext cx="5259070" cy="743775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eastAsia="宋体" w:cs="Times New Roman"/>
          <w:b/>
          <w:bCs/>
          <w:color w:val="auto"/>
          <w:sz w:val="36"/>
          <w:szCs w:val="36"/>
          <w:highlight w:val="none"/>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eastAsia="宋体" w:cs="Times New Roman"/>
          <w:b/>
          <w:bCs/>
          <w:color w:val="auto"/>
          <w:sz w:val="36"/>
          <w:szCs w:val="36"/>
          <w:highlight w:val="none"/>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eastAsia="宋体" w:cs="Times New Roman"/>
          <w:b/>
          <w:bCs/>
          <w:color w:val="auto"/>
          <w:sz w:val="36"/>
          <w:szCs w:val="36"/>
          <w:highlight w:val="none"/>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default" w:ascii="Times New Roman" w:hAnsi="Times New Roman" w:eastAsia="宋体" w:cs="Times New Roman"/>
          <w:b/>
          <w:bCs/>
          <w:color w:val="auto"/>
          <w:sz w:val="32"/>
          <w:szCs w:val="32"/>
          <w:highlight w:val="none"/>
        </w:rPr>
      </w:pPr>
      <w:r>
        <w:drawing>
          <wp:inline distT="0" distB="0" distL="114300" distR="114300">
            <wp:extent cx="5259070" cy="7437755"/>
            <wp:effectExtent l="0" t="0" r="17780" b="10795"/>
            <wp:docPr id="4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6"/>
                    <pic:cNvPicPr>
                      <a:picLocks noChangeAspect="1"/>
                    </pic:cNvPicPr>
                  </pic:nvPicPr>
                  <pic:blipFill>
                    <a:blip r:embed="rId10"/>
                    <a:stretch>
                      <a:fillRect/>
                    </a:stretch>
                  </pic:blipFill>
                  <pic:spPr>
                    <a:xfrm>
                      <a:off x="0" y="0"/>
                      <a:ext cx="5259070" cy="7437755"/>
                    </a:xfrm>
                    <a:prstGeom prst="rect">
                      <a:avLst/>
                    </a:prstGeom>
                    <a:noFill/>
                    <a:ln>
                      <a:noFill/>
                    </a:ln>
                  </pic:spPr>
                </pic:pic>
              </a:graphicData>
            </a:graphic>
          </wp:inline>
        </w:drawing>
      </w:r>
      <w:r>
        <w:drawing>
          <wp:inline distT="0" distB="0" distL="114300" distR="114300">
            <wp:extent cx="5259070" cy="7437755"/>
            <wp:effectExtent l="0" t="0" r="17780" b="10795"/>
            <wp:docPr id="5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9"/>
                    <pic:cNvPicPr>
                      <a:picLocks noChangeAspect="1"/>
                    </pic:cNvPicPr>
                  </pic:nvPicPr>
                  <pic:blipFill>
                    <a:blip r:embed="rId11"/>
                    <a:stretch>
                      <a:fillRect/>
                    </a:stretch>
                  </pic:blipFill>
                  <pic:spPr>
                    <a:xfrm>
                      <a:off x="0" y="0"/>
                      <a:ext cx="5259070" cy="7437755"/>
                    </a:xfrm>
                    <a:prstGeom prst="rect">
                      <a:avLst/>
                    </a:prstGeom>
                    <a:noFill/>
                    <a:ln>
                      <a:noFill/>
                    </a:ln>
                  </pic:spPr>
                </pic:pic>
              </a:graphicData>
            </a:graphic>
          </wp:inline>
        </w:drawing>
      </w:r>
      <w:bookmarkStart w:id="2" w:name="_GoBack"/>
      <w:bookmarkEnd w:id="2"/>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default" w:ascii="Times New Roman" w:hAnsi="Times New Roman" w:eastAsia="宋体" w:cs="Times New Roman"/>
          <w:b/>
          <w:bCs/>
          <w:color w:val="auto"/>
          <w:sz w:val="32"/>
          <w:szCs w:val="32"/>
          <w:highlight w:val="none"/>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default" w:ascii="Times New Roman" w:hAnsi="Times New Roman" w:eastAsia="宋体" w:cs="Times New Roman"/>
          <w:b/>
          <w:bCs/>
          <w:color w:val="auto"/>
          <w:sz w:val="32"/>
          <w:szCs w:val="32"/>
          <w:highlight w:val="none"/>
        </w:rPr>
        <w:sectPr>
          <w:footerReference r:id="rId3" w:type="default"/>
          <w:footerReference r:id="rId4" w:type="even"/>
          <w:pgSz w:w="11906" w:h="16838"/>
          <w:pgMar w:top="1440" w:right="1800" w:bottom="1440" w:left="1800" w:header="851" w:footer="1077" w:gutter="0"/>
          <w:pgBorders>
            <w:top w:val="none" w:sz="0" w:space="0"/>
            <w:left w:val="none" w:sz="0" w:space="0"/>
            <w:bottom w:val="none" w:sz="0" w:space="0"/>
            <w:right w:val="none" w:sz="0" w:space="0"/>
          </w:pgBorders>
          <w:pgNumType w:fmt="numberInDash" w:start="3"/>
          <w:cols w:space="720" w:num="1"/>
          <w:docGrid w:linePitch="312" w:charSpace="0"/>
        </w:sectPr>
      </w:pPr>
    </w:p>
    <w:p>
      <w:pPr>
        <w:pStyle w:val="6"/>
        <w:kinsoku/>
        <w:wordWrap/>
        <w:bidi w:val="0"/>
        <w:spacing w:line="360" w:lineRule="auto"/>
        <w:ind w:left="0" w:leftChars="0" w:right="0" w:righ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一、建设项目基本情况</w:t>
      </w:r>
    </w:p>
    <w:tbl>
      <w:tblPr>
        <w:tblStyle w:val="19"/>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690"/>
        <w:gridCol w:w="2122"/>
        <w:gridCol w:w="2353"/>
        <w:gridCol w:w="29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690" w:type="dxa"/>
            <w:tcMar>
              <w:top w:w="16" w:type="dxa"/>
              <w:left w:w="16" w:type="dxa"/>
              <w:right w:w="16" w:type="dxa"/>
            </w:tcMar>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建设项目名称</w:t>
            </w:r>
          </w:p>
        </w:tc>
        <w:tc>
          <w:tcPr>
            <w:tcW w:w="7381" w:type="dxa"/>
            <w:gridSpan w:val="3"/>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eastAsia="zh-CN"/>
              </w:rPr>
              <w:t>大中矿业股份有限公司</w:t>
            </w:r>
            <w:r>
              <w:rPr>
                <w:rFonts w:hint="default" w:ascii="Times New Roman" w:hAnsi="Times New Roman" w:eastAsia="宋体" w:cs="Times New Roman"/>
                <w:color w:val="auto"/>
                <w:sz w:val="24"/>
                <w:szCs w:val="24"/>
                <w:highlight w:val="none"/>
                <w:lang w:val="en-US" w:eastAsia="zh-CN"/>
              </w:rPr>
              <w:t>东五份子矿区锅炉改建</w:t>
            </w:r>
            <w:r>
              <w:rPr>
                <w:rFonts w:hint="default" w:ascii="Times New Roman" w:hAnsi="Times New Roman" w:eastAsia="宋体" w:cs="Times New Roman"/>
                <w:color w:val="auto"/>
                <w:sz w:val="24"/>
                <w:szCs w:val="24"/>
                <w:highlight w:val="none"/>
                <w:lang w:eastAsia="zh-CN"/>
              </w:rPr>
              <w:t>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690" w:type="dxa"/>
            <w:tcMar>
              <w:top w:w="16" w:type="dxa"/>
              <w:left w:w="16" w:type="dxa"/>
              <w:right w:w="16" w:type="dxa"/>
            </w:tcMar>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项目代码</w:t>
            </w:r>
          </w:p>
        </w:tc>
        <w:tc>
          <w:tcPr>
            <w:tcW w:w="7381" w:type="dxa"/>
            <w:gridSpan w:val="3"/>
            <w:vAlign w:val="center"/>
          </w:tcPr>
          <w:p>
            <w:pPr>
              <w:widowControl/>
              <w:kinsoku/>
              <w:wordWrap/>
              <w:bidi w:val="0"/>
              <w:spacing w:line="240" w:lineRule="auto"/>
              <w:ind w:left="0" w:leftChars="0" w:right="0" w:rightChars="0" w:firstLine="0" w:firstLineChars="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690" w:type="dxa"/>
            <w:tcMar>
              <w:top w:w="16" w:type="dxa"/>
              <w:left w:w="16" w:type="dxa"/>
              <w:right w:w="16" w:type="dxa"/>
            </w:tcMar>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建设单位联系人</w:t>
            </w:r>
          </w:p>
        </w:tc>
        <w:tc>
          <w:tcPr>
            <w:tcW w:w="2122" w:type="dxa"/>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明玉凯</w:t>
            </w:r>
          </w:p>
        </w:tc>
        <w:tc>
          <w:tcPr>
            <w:tcW w:w="2353" w:type="dxa"/>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sz w:val="24"/>
                <w:szCs w:val="24"/>
                <w:highlight w:val="none"/>
              </w:rPr>
              <w:t>联系电话</w:t>
            </w:r>
          </w:p>
        </w:tc>
        <w:tc>
          <w:tcPr>
            <w:tcW w:w="2906" w:type="dxa"/>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13142424457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690" w:type="dxa"/>
            <w:tcMar>
              <w:top w:w="16" w:type="dxa"/>
              <w:left w:w="16" w:type="dxa"/>
              <w:right w:w="16" w:type="dxa"/>
            </w:tcMar>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建设地点</w:t>
            </w:r>
          </w:p>
        </w:tc>
        <w:tc>
          <w:tcPr>
            <w:tcW w:w="7381" w:type="dxa"/>
            <w:gridSpan w:val="3"/>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rPr>
            </w:pPr>
            <w:r>
              <w:rPr>
                <w:rFonts w:hint="eastAsia" w:cs="Times New Roman"/>
                <w:b w:val="0"/>
                <w:bCs w:val="0"/>
                <w:color w:val="auto"/>
                <w:sz w:val="24"/>
                <w:szCs w:val="24"/>
                <w:highlight w:val="none"/>
                <w:vertAlign w:val="baseline"/>
                <w:lang w:val="en-US" w:eastAsia="zh-CN"/>
              </w:rPr>
              <w:t>内蒙古自治区巴彦淖尔市乌拉特前旗小佘太镇东五份子村，大中矿业股份有限公司现有锅炉房内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690" w:type="dxa"/>
            <w:tcMar>
              <w:top w:w="16" w:type="dxa"/>
              <w:left w:w="16" w:type="dxa"/>
              <w:right w:w="16" w:type="dxa"/>
            </w:tcMar>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地理坐标</w:t>
            </w:r>
          </w:p>
        </w:tc>
        <w:tc>
          <w:tcPr>
            <w:tcW w:w="7381" w:type="dxa"/>
            <w:gridSpan w:val="3"/>
            <w:vAlign w:val="center"/>
          </w:tcPr>
          <w:p>
            <w:pPr>
              <w:keepNext w:val="0"/>
              <w:keepLines w:val="0"/>
              <w:widowControl/>
              <w:suppressLineNumbers w:val="0"/>
              <w:kinsoku/>
              <w:wordWrap/>
              <w:bidi w:val="0"/>
              <w:spacing w:line="240" w:lineRule="auto"/>
              <w:ind w:left="0" w:leftChars="0" w:right="0" w:rightChars="0" w:firstLine="0" w:firstLineChars="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东经109°36′26.705″，北纬41°03′24.799″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690" w:type="dxa"/>
            <w:tcMar>
              <w:top w:w="16" w:type="dxa"/>
              <w:left w:w="16" w:type="dxa"/>
              <w:right w:w="16" w:type="dxa"/>
            </w:tcMar>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国民经济</w:t>
            </w:r>
          </w:p>
          <w:p>
            <w:pPr>
              <w:kinsoku/>
              <w:wordWrap/>
              <w:bidi w:val="0"/>
              <w:spacing w:line="240" w:lineRule="auto"/>
              <w:ind w:left="0" w:leftChars="0" w:right="0" w:rightChars="0" w:firstLine="0" w:firstLine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行业类别</w:t>
            </w:r>
          </w:p>
        </w:tc>
        <w:tc>
          <w:tcPr>
            <w:tcW w:w="2122" w:type="dxa"/>
            <w:vAlign w:val="center"/>
          </w:tcPr>
          <w:p>
            <w:pPr>
              <w:widowControl/>
              <w:kinsoku/>
              <w:wordWrap/>
              <w:bidi w:val="0"/>
              <w:spacing w:line="240" w:lineRule="auto"/>
              <w:ind w:left="0" w:leftChars="0" w:right="0" w:rightChars="0" w:firstLine="0" w:firstLineChars="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D4430热力生产和供应业</w:t>
            </w:r>
          </w:p>
        </w:tc>
        <w:tc>
          <w:tcPr>
            <w:tcW w:w="2353" w:type="dxa"/>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color w:val="auto"/>
                <w:sz w:val="24"/>
                <w:szCs w:val="24"/>
                <w:highlight w:val="none"/>
              </w:rPr>
            </w:pPr>
            <w:bookmarkStart w:id="0" w:name="_Hlk49843745"/>
            <w:r>
              <w:rPr>
                <w:rFonts w:hint="default" w:ascii="Times New Roman" w:hAnsi="Times New Roman" w:eastAsia="宋体" w:cs="Times New Roman"/>
                <w:b/>
                <w:bCs/>
                <w:color w:val="auto"/>
                <w:sz w:val="24"/>
                <w:szCs w:val="24"/>
                <w:highlight w:val="none"/>
              </w:rPr>
              <w:t>建设项目</w:t>
            </w:r>
          </w:p>
          <w:p>
            <w:pPr>
              <w:kinsoku/>
              <w:wordWrap/>
              <w:bidi w:val="0"/>
              <w:spacing w:line="240" w:lineRule="auto"/>
              <w:ind w:left="0" w:leftChars="0" w:right="0" w:rightChars="0" w:firstLine="0" w:firstLineChars="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sz w:val="24"/>
                <w:szCs w:val="24"/>
                <w:highlight w:val="none"/>
              </w:rPr>
              <w:t>行业类别</w:t>
            </w:r>
            <w:bookmarkEnd w:id="0"/>
          </w:p>
        </w:tc>
        <w:tc>
          <w:tcPr>
            <w:tcW w:w="2906" w:type="dxa"/>
            <w:vAlign w:val="center"/>
          </w:tcPr>
          <w:p>
            <w:pPr>
              <w:widowControl/>
              <w:kinsoku/>
              <w:wordWrap/>
              <w:bidi w:val="0"/>
              <w:spacing w:line="240" w:lineRule="auto"/>
              <w:ind w:left="0" w:leftChars="0" w:right="0" w:rightChars="0" w:firstLine="0" w:firstLineChars="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四十一、电力、热力生产和供应业--91热力生产和供应工程（包括建设单位自建自用的供热工程）--使用其他高污染燃料的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690" w:type="dxa"/>
            <w:tcMar>
              <w:top w:w="16" w:type="dxa"/>
              <w:left w:w="16" w:type="dxa"/>
              <w:right w:w="16" w:type="dxa"/>
            </w:tcMar>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建设性质</w:t>
            </w:r>
          </w:p>
        </w:tc>
        <w:tc>
          <w:tcPr>
            <w:tcW w:w="2122" w:type="dxa"/>
            <w:vAlign w:val="center"/>
          </w:tcPr>
          <w:p>
            <w:pPr>
              <w:kinsoku/>
              <w:wordWrap/>
              <w:bidi w:val="0"/>
              <w:adjustRightInd w:val="0"/>
              <w:snapToGrid w:val="0"/>
              <w:spacing w:line="240" w:lineRule="auto"/>
              <w:ind w:left="0" w:leftChars="0" w:right="0" w:rightChars="0" w:firstLine="0" w:firstLineChar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sym w:font="Wingdings 2" w:char="00A3"/>
            </w:r>
            <w:r>
              <w:rPr>
                <w:rFonts w:hint="default" w:ascii="Times New Roman" w:hAnsi="Times New Roman" w:eastAsia="宋体" w:cs="Times New Roman"/>
                <w:color w:val="auto"/>
                <w:sz w:val="24"/>
                <w:szCs w:val="24"/>
                <w:highlight w:val="none"/>
              </w:rPr>
              <w:t>新建（迁建）</w:t>
            </w:r>
          </w:p>
          <w:p>
            <w:pPr>
              <w:kinsoku/>
              <w:wordWrap/>
              <w:bidi w:val="0"/>
              <w:adjustRightInd w:val="0"/>
              <w:snapToGrid w:val="0"/>
              <w:spacing w:line="240" w:lineRule="auto"/>
              <w:ind w:left="0" w:leftChars="0" w:right="0" w:rightChars="0" w:firstLine="0" w:firstLineChar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sym w:font="Wingdings 2" w:char="0052"/>
            </w:r>
            <w:r>
              <w:rPr>
                <w:rFonts w:hint="default" w:ascii="Times New Roman" w:hAnsi="Times New Roman" w:eastAsia="宋体" w:cs="Times New Roman"/>
                <w:color w:val="auto"/>
                <w:sz w:val="24"/>
                <w:szCs w:val="24"/>
                <w:highlight w:val="none"/>
              </w:rPr>
              <w:t>改建</w:t>
            </w:r>
          </w:p>
          <w:p>
            <w:pPr>
              <w:kinsoku/>
              <w:wordWrap/>
              <w:bidi w:val="0"/>
              <w:adjustRightInd w:val="0"/>
              <w:snapToGrid w:val="0"/>
              <w:spacing w:line="240" w:lineRule="auto"/>
              <w:ind w:left="0" w:leftChars="0" w:right="0" w:rightChars="0" w:firstLine="0" w:firstLineChars="0"/>
              <w:jc w:val="left"/>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sym w:font="Wingdings 2" w:char="00A3"/>
            </w:r>
            <w:r>
              <w:rPr>
                <w:rFonts w:hint="default" w:ascii="Times New Roman" w:hAnsi="Times New Roman" w:eastAsia="宋体" w:cs="Times New Roman"/>
                <w:color w:val="auto"/>
                <w:sz w:val="24"/>
                <w:szCs w:val="24"/>
                <w:highlight w:val="none"/>
                <w:lang w:val="en-US" w:eastAsia="zh-CN"/>
              </w:rPr>
              <w:t>扩</w:t>
            </w:r>
            <w:r>
              <w:rPr>
                <w:rFonts w:hint="default" w:ascii="Times New Roman" w:hAnsi="Times New Roman" w:eastAsia="宋体" w:cs="Times New Roman"/>
                <w:color w:val="auto"/>
                <w:sz w:val="24"/>
                <w:szCs w:val="24"/>
                <w:highlight w:val="none"/>
                <w:lang w:eastAsia="zh-CN"/>
              </w:rPr>
              <w:t>建</w:t>
            </w:r>
          </w:p>
          <w:p>
            <w:pPr>
              <w:kinsoku/>
              <w:wordWrap/>
              <w:bidi w:val="0"/>
              <w:adjustRightInd w:val="0"/>
              <w:snapToGrid w:val="0"/>
              <w:spacing w:line="240" w:lineRule="auto"/>
              <w:ind w:left="0" w:leftChars="0" w:right="0" w:rightChars="0" w:firstLine="0" w:firstLineChar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sym w:font="Wingdings 2" w:char="00A3"/>
            </w:r>
            <w:r>
              <w:rPr>
                <w:rFonts w:hint="default" w:ascii="Times New Roman" w:hAnsi="Times New Roman" w:eastAsia="宋体" w:cs="Times New Roman"/>
                <w:color w:val="auto"/>
                <w:sz w:val="24"/>
                <w:szCs w:val="24"/>
                <w:highlight w:val="none"/>
              </w:rPr>
              <w:t>技术改造</w:t>
            </w:r>
          </w:p>
        </w:tc>
        <w:tc>
          <w:tcPr>
            <w:tcW w:w="2353" w:type="dxa"/>
            <w:vAlign w:val="center"/>
          </w:tcPr>
          <w:p>
            <w:pPr>
              <w:kinsoku/>
              <w:wordWrap/>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建设项目</w:t>
            </w:r>
          </w:p>
          <w:p>
            <w:pPr>
              <w:kinsoku/>
              <w:wordWrap/>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sz w:val="24"/>
                <w:szCs w:val="24"/>
                <w:highlight w:val="none"/>
              </w:rPr>
              <w:t>申报情形</w:t>
            </w:r>
          </w:p>
        </w:tc>
        <w:tc>
          <w:tcPr>
            <w:tcW w:w="2906" w:type="dxa"/>
            <w:vAlign w:val="center"/>
          </w:tcPr>
          <w:p>
            <w:pPr>
              <w:kinsoku/>
              <w:wordWrap/>
              <w:bidi w:val="0"/>
              <w:adjustRightInd w:val="0"/>
              <w:snapToGrid w:val="0"/>
              <w:spacing w:line="240" w:lineRule="auto"/>
              <w:ind w:left="0" w:leftChars="0" w:right="0" w:rightChars="0" w:firstLine="0" w:firstLineChar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sym w:font="Wingdings 2" w:char="0052"/>
            </w:r>
            <w:r>
              <w:rPr>
                <w:rFonts w:hint="default" w:ascii="Times New Roman" w:hAnsi="Times New Roman" w:eastAsia="宋体" w:cs="Times New Roman"/>
                <w:color w:val="auto"/>
                <w:sz w:val="24"/>
                <w:szCs w:val="24"/>
                <w:highlight w:val="none"/>
              </w:rPr>
              <w:t>首次申报项目</w:t>
            </w:r>
          </w:p>
          <w:p>
            <w:pPr>
              <w:kinsoku/>
              <w:wordWrap/>
              <w:bidi w:val="0"/>
              <w:adjustRightInd w:val="0"/>
              <w:snapToGrid w:val="0"/>
              <w:spacing w:line="240" w:lineRule="auto"/>
              <w:ind w:left="0" w:leftChars="0" w:right="0" w:rightChars="0" w:firstLine="0" w:firstLineChar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sym w:font="Wingdings 2" w:char="00A3"/>
            </w:r>
            <w:r>
              <w:rPr>
                <w:rFonts w:hint="default" w:ascii="Times New Roman" w:hAnsi="Times New Roman" w:eastAsia="宋体" w:cs="Times New Roman"/>
                <w:color w:val="auto"/>
                <w:sz w:val="24"/>
                <w:szCs w:val="24"/>
                <w:highlight w:val="none"/>
              </w:rPr>
              <w:t>不予批准后再次申报项目</w:t>
            </w:r>
          </w:p>
          <w:p>
            <w:pPr>
              <w:kinsoku/>
              <w:wordWrap/>
              <w:bidi w:val="0"/>
              <w:adjustRightInd w:val="0"/>
              <w:snapToGrid w:val="0"/>
              <w:spacing w:line="240" w:lineRule="auto"/>
              <w:ind w:left="0" w:leftChars="0" w:right="0" w:rightChars="0" w:firstLine="0" w:firstLineChar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sym w:font="Wingdings 2" w:char="00A3"/>
            </w:r>
            <w:r>
              <w:rPr>
                <w:rFonts w:hint="default" w:ascii="Times New Roman" w:hAnsi="Times New Roman" w:eastAsia="宋体" w:cs="Times New Roman"/>
                <w:color w:val="auto"/>
                <w:sz w:val="24"/>
                <w:szCs w:val="24"/>
                <w:highlight w:val="none"/>
              </w:rPr>
              <w:t>超五年重新审核项目</w:t>
            </w:r>
          </w:p>
          <w:p>
            <w:pPr>
              <w:kinsoku/>
              <w:wordWrap/>
              <w:bidi w:val="0"/>
              <w:adjustRightInd w:val="0"/>
              <w:snapToGrid w:val="0"/>
              <w:spacing w:line="240" w:lineRule="auto"/>
              <w:ind w:left="0" w:leftChars="0" w:right="0" w:rightChars="0" w:firstLine="0" w:firstLineChar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sym w:font="Wingdings 2" w:char="00A3"/>
            </w:r>
            <w:r>
              <w:rPr>
                <w:rFonts w:hint="default" w:ascii="Times New Roman" w:hAnsi="Times New Roman" w:eastAsia="宋体" w:cs="Times New Roman"/>
                <w:color w:val="auto"/>
                <w:sz w:val="24"/>
                <w:szCs w:val="24"/>
                <w:highlight w:val="none"/>
              </w:rPr>
              <w:t>重大变动重新报批项目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690" w:type="dxa"/>
            <w:tcMar>
              <w:top w:w="16" w:type="dxa"/>
              <w:left w:w="16" w:type="dxa"/>
              <w:right w:w="16" w:type="dxa"/>
            </w:tcMar>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项目审批（核准/备案）部门（选填）</w:t>
            </w:r>
          </w:p>
        </w:tc>
        <w:tc>
          <w:tcPr>
            <w:tcW w:w="2122" w:type="dxa"/>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w:t>
            </w:r>
          </w:p>
        </w:tc>
        <w:tc>
          <w:tcPr>
            <w:tcW w:w="2353" w:type="dxa"/>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项目审批（核准/</w:t>
            </w:r>
          </w:p>
          <w:p>
            <w:pPr>
              <w:kinsoku/>
              <w:wordWrap/>
              <w:bidi w:val="0"/>
              <w:spacing w:line="240" w:lineRule="auto"/>
              <w:ind w:left="0" w:leftChars="0" w:right="0" w:rightChars="0" w:firstLine="0" w:firstLine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备案）文号（选填）</w:t>
            </w:r>
          </w:p>
        </w:tc>
        <w:tc>
          <w:tcPr>
            <w:tcW w:w="2906" w:type="dxa"/>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690" w:type="dxa"/>
            <w:tcMar>
              <w:top w:w="16" w:type="dxa"/>
              <w:left w:w="16" w:type="dxa"/>
              <w:right w:w="16" w:type="dxa"/>
            </w:tcMar>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总投资（万元）</w:t>
            </w:r>
          </w:p>
        </w:tc>
        <w:tc>
          <w:tcPr>
            <w:tcW w:w="2122" w:type="dxa"/>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100</w:t>
            </w:r>
          </w:p>
        </w:tc>
        <w:tc>
          <w:tcPr>
            <w:tcW w:w="2353" w:type="dxa"/>
            <w:tcMar>
              <w:top w:w="16" w:type="dxa"/>
              <w:left w:w="16" w:type="dxa"/>
              <w:right w:w="16" w:type="dxa"/>
            </w:tcMar>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环保投资（万元）</w:t>
            </w:r>
          </w:p>
        </w:tc>
        <w:tc>
          <w:tcPr>
            <w:tcW w:w="2906" w:type="dxa"/>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690" w:type="dxa"/>
            <w:tcMar>
              <w:top w:w="16" w:type="dxa"/>
              <w:left w:w="16" w:type="dxa"/>
              <w:right w:w="16" w:type="dxa"/>
            </w:tcMar>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环保投资占比（%）</w:t>
            </w:r>
          </w:p>
        </w:tc>
        <w:tc>
          <w:tcPr>
            <w:tcW w:w="2122" w:type="dxa"/>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16.5</w:t>
            </w:r>
          </w:p>
        </w:tc>
        <w:tc>
          <w:tcPr>
            <w:tcW w:w="2353" w:type="dxa"/>
            <w:tcMar>
              <w:top w:w="16" w:type="dxa"/>
              <w:left w:w="16" w:type="dxa"/>
              <w:right w:w="16" w:type="dxa"/>
            </w:tcMar>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施工工期</w:t>
            </w:r>
          </w:p>
        </w:tc>
        <w:tc>
          <w:tcPr>
            <w:tcW w:w="2906" w:type="dxa"/>
            <w:vAlign w:val="center"/>
          </w:tcPr>
          <w:p>
            <w:pPr>
              <w:tabs>
                <w:tab w:val="left" w:pos="971"/>
              </w:tabs>
              <w:kinsoku/>
              <w:wordWrap/>
              <w:bidi w:val="0"/>
              <w:spacing w:line="240" w:lineRule="auto"/>
              <w:ind w:left="0" w:leftChars="0" w:right="0" w:rightChars="0" w:firstLine="0" w:firstLineChars="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1个月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690" w:type="dxa"/>
            <w:tcMar>
              <w:top w:w="16" w:type="dxa"/>
              <w:left w:w="16" w:type="dxa"/>
              <w:right w:w="16" w:type="dxa"/>
            </w:tcMar>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是否开工建设</w:t>
            </w:r>
          </w:p>
        </w:tc>
        <w:tc>
          <w:tcPr>
            <w:tcW w:w="2122" w:type="dxa"/>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否</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eastAsia="zh-CN"/>
              </w:rPr>
              <w:t>：</w:t>
            </w:r>
          </w:p>
          <w:p>
            <w:pPr>
              <w:kinsoku/>
              <w:wordWrap/>
              <w:bidi w:val="0"/>
              <w:spacing w:line="240" w:lineRule="auto"/>
              <w:ind w:left="0" w:leftChars="0" w:right="0" w:rightChars="0" w:firstLine="0" w:firstLineChars="0"/>
              <w:jc w:val="left"/>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是</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eastAsia="zh-CN"/>
              </w:rPr>
              <w:t>：</w:t>
            </w:r>
          </w:p>
        </w:tc>
        <w:tc>
          <w:tcPr>
            <w:tcW w:w="2353" w:type="dxa"/>
            <w:tcMar>
              <w:top w:w="16" w:type="dxa"/>
              <w:left w:w="16" w:type="dxa"/>
              <w:right w:w="16" w:type="dxa"/>
            </w:tcMar>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spacing w:val="-6"/>
                <w:sz w:val="24"/>
                <w:szCs w:val="24"/>
                <w:highlight w:val="none"/>
              </w:rPr>
              <w:t>用地面积（m</w:t>
            </w:r>
            <w:r>
              <w:rPr>
                <w:rFonts w:hint="default" w:ascii="Times New Roman" w:hAnsi="Times New Roman" w:eastAsia="宋体" w:cs="Times New Roman"/>
                <w:b/>
                <w:bCs/>
                <w:color w:val="auto"/>
                <w:spacing w:val="-6"/>
                <w:sz w:val="24"/>
                <w:szCs w:val="24"/>
                <w:highlight w:val="none"/>
                <w:vertAlign w:val="superscript"/>
              </w:rPr>
              <w:t>2</w:t>
            </w:r>
            <w:r>
              <w:rPr>
                <w:rFonts w:hint="default" w:ascii="Times New Roman" w:hAnsi="Times New Roman" w:eastAsia="宋体" w:cs="Times New Roman"/>
                <w:b/>
                <w:bCs/>
                <w:color w:val="auto"/>
                <w:spacing w:val="-6"/>
                <w:sz w:val="24"/>
                <w:szCs w:val="24"/>
                <w:highlight w:val="none"/>
              </w:rPr>
              <w:t>）</w:t>
            </w:r>
          </w:p>
        </w:tc>
        <w:tc>
          <w:tcPr>
            <w:tcW w:w="2906" w:type="dxa"/>
            <w:vAlign w:val="center"/>
          </w:tcPr>
          <w:p>
            <w:pPr>
              <w:widowControl/>
              <w:kinsoku/>
              <w:wordWrap/>
              <w:bidi w:val="0"/>
              <w:spacing w:line="240" w:lineRule="auto"/>
              <w:ind w:left="0" w:leftChars="0" w:right="0" w:rightChars="0" w:firstLine="0" w:firstLineChars="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不新增占地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90" w:type="dxa"/>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color w:val="auto"/>
                <w:kern w:val="0"/>
                <w:sz w:val="24"/>
                <w:szCs w:val="24"/>
                <w:highlight w:val="none"/>
              </w:rPr>
            </w:pPr>
            <w:r>
              <w:rPr>
                <w:rFonts w:hint="default" w:ascii="Times New Roman" w:hAnsi="Times New Roman" w:eastAsia="宋体" w:cs="Times New Roman"/>
                <w:b/>
                <w:bCs/>
                <w:color w:val="auto"/>
                <w:kern w:val="0"/>
                <w:sz w:val="24"/>
                <w:szCs w:val="24"/>
                <w:highlight w:val="none"/>
              </w:rPr>
              <w:t>专项评价设置</w:t>
            </w:r>
          </w:p>
          <w:p>
            <w:pPr>
              <w:kinsoku/>
              <w:wordWrap/>
              <w:bidi w:val="0"/>
              <w:spacing w:line="240" w:lineRule="auto"/>
              <w:ind w:left="0" w:leftChars="0" w:right="0" w:rightChars="0" w:firstLine="0" w:firstLineChars="0"/>
              <w:jc w:val="center"/>
              <w:rPr>
                <w:rFonts w:hint="default" w:ascii="Times New Roman" w:hAnsi="Times New Roman" w:eastAsia="宋体" w:cs="Times New Roman"/>
                <w:b/>
                <w:bCs/>
                <w:color w:val="auto"/>
                <w:kern w:val="0"/>
                <w:sz w:val="24"/>
                <w:szCs w:val="24"/>
                <w:highlight w:val="none"/>
              </w:rPr>
            </w:pPr>
            <w:r>
              <w:rPr>
                <w:rFonts w:hint="default" w:ascii="Times New Roman" w:hAnsi="Times New Roman" w:eastAsia="宋体" w:cs="Times New Roman"/>
                <w:b/>
                <w:bCs/>
                <w:color w:val="auto"/>
                <w:kern w:val="0"/>
                <w:sz w:val="24"/>
                <w:szCs w:val="24"/>
                <w:highlight w:val="none"/>
              </w:rPr>
              <w:t>情况</w:t>
            </w:r>
          </w:p>
        </w:tc>
        <w:tc>
          <w:tcPr>
            <w:tcW w:w="7381" w:type="dxa"/>
            <w:gridSpan w:val="3"/>
            <w:vAlign w:val="center"/>
          </w:tcPr>
          <w:p>
            <w:pPr>
              <w:widowControl/>
              <w:kinsoku/>
              <w:wordWrap/>
              <w:bidi w:val="0"/>
              <w:spacing w:line="240" w:lineRule="auto"/>
              <w:ind w:left="0" w:leftChars="0" w:right="0" w:rightChars="0" w:firstLine="0" w:firstLineChars="0"/>
              <w:jc w:val="center"/>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90" w:type="dxa"/>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color w:val="auto"/>
                <w:kern w:val="0"/>
                <w:sz w:val="24"/>
                <w:szCs w:val="24"/>
                <w:highlight w:val="none"/>
              </w:rPr>
            </w:pPr>
            <w:r>
              <w:rPr>
                <w:rFonts w:hint="default" w:ascii="Times New Roman" w:hAnsi="Times New Roman" w:eastAsia="宋体" w:cs="Times New Roman"/>
                <w:b/>
                <w:bCs/>
                <w:color w:val="auto"/>
                <w:sz w:val="24"/>
                <w:szCs w:val="24"/>
                <w:highlight w:val="none"/>
              </w:rPr>
              <w:t>规划情况</w:t>
            </w:r>
          </w:p>
        </w:tc>
        <w:tc>
          <w:tcPr>
            <w:tcW w:w="7381" w:type="dxa"/>
            <w:gridSpan w:val="3"/>
            <w:vAlign w:val="center"/>
          </w:tcPr>
          <w:p>
            <w:pPr>
              <w:widowControl/>
              <w:kinsoku/>
              <w:wordWrap/>
              <w:bidi w:val="0"/>
              <w:spacing w:line="240" w:lineRule="auto"/>
              <w:ind w:left="0" w:leftChars="0" w:right="0" w:rightChars="0" w:firstLine="0" w:firstLineChars="0"/>
              <w:jc w:val="center"/>
              <w:rPr>
                <w:rFonts w:hint="default" w:ascii="Times New Roman" w:hAnsi="Times New Roman" w:eastAsia="宋体" w:cs="Times New Roman"/>
                <w:color w:val="auto"/>
                <w:kern w:val="0"/>
                <w:sz w:val="24"/>
                <w:szCs w:val="24"/>
                <w:highlight w:val="none"/>
                <w:lang w:eastAsia="zh-CN"/>
              </w:rPr>
            </w:pPr>
            <w:r>
              <w:rPr>
                <w:rFonts w:hint="default" w:ascii="Times New Roman" w:hAnsi="Times New Roman" w:eastAsia="宋体" w:cs="Times New Roman"/>
                <w:color w:val="auto"/>
                <w:kern w:val="0"/>
                <w:sz w:val="24"/>
                <w:szCs w:val="24"/>
                <w:highlight w:val="none"/>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90" w:type="dxa"/>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规划环境影响</w:t>
            </w:r>
          </w:p>
          <w:p>
            <w:pPr>
              <w:kinsoku/>
              <w:wordWrap/>
              <w:bidi w:val="0"/>
              <w:spacing w:line="240" w:lineRule="auto"/>
              <w:ind w:left="0" w:leftChars="0" w:right="0" w:rightChars="0" w:firstLine="0" w:firstLineChars="0"/>
              <w:jc w:val="center"/>
              <w:rPr>
                <w:rFonts w:hint="default" w:ascii="Times New Roman" w:hAnsi="Times New Roman" w:eastAsia="宋体" w:cs="Times New Roman"/>
                <w:b/>
                <w:bCs/>
                <w:color w:val="auto"/>
                <w:kern w:val="0"/>
                <w:sz w:val="24"/>
                <w:szCs w:val="24"/>
                <w:highlight w:val="none"/>
              </w:rPr>
            </w:pPr>
            <w:r>
              <w:rPr>
                <w:rFonts w:hint="default" w:ascii="Times New Roman" w:hAnsi="Times New Roman" w:eastAsia="宋体" w:cs="Times New Roman"/>
                <w:b/>
                <w:bCs/>
                <w:color w:val="auto"/>
                <w:sz w:val="24"/>
                <w:szCs w:val="24"/>
                <w:highlight w:val="none"/>
              </w:rPr>
              <w:t>评价情况</w:t>
            </w:r>
          </w:p>
        </w:tc>
        <w:tc>
          <w:tcPr>
            <w:tcW w:w="7381" w:type="dxa"/>
            <w:gridSpan w:val="3"/>
            <w:vAlign w:val="center"/>
          </w:tcPr>
          <w:p>
            <w:pPr>
              <w:widowControl/>
              <w:kinsoku/>
              <w:wordWrap/>
              <w:bidi w:val="0"/>
              <w:spacing w:line="240" w:lineRule="auto"/>
              <w:ind w:left="0" w:leftChars="0" w:right="0" w:rightChars="0" w:firstLine="0" w:firstLineChars="0"/>
              <w:jc w:val="center"/>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90" w:type="dxa"/>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color w:val="auto"/>
                <w:kern w:val="0"/>
                <w:sz w:val="24"/>
                <w:szCs w:val="24"/>
                <w:highlight w:val="none"/>
              </w:rPr>
            </w:pPr>
            <w:r>
              <w:rPr>
                <w:rFonts w:hint="default" w:ascii="Times New Roman" w:hAnsi="Times New Roman" w:eastAsia="宋体" w:cs="Times New Roman"/>
                <w:b/>
                <w:bCs/>
                <w:color w:val="auto"/>
                <w:kern w:val="0"/>
                <w:sz w:val="24"/>
                <w:szCs w:val="24"/>
                <w:highlight w:val="none"/>
              </w:rPr>
              <w:t>规划及规划环境影响评价符合性分析</w:t>
            </w:r>
          </w:p>
        </w:tc>
        <w:tc>
          <w:tcPr>
            <w:tcW w:w="7381" w:type="dxa"/>
            <w:gridSpan w:val="3"/>
            <w:vAlign w:val="center"/>
          </w:tcPr>
          <w:p>
            <w:pPr>
              <w:widowControl/>
              <w:kinsoku/>
              <w:wordWrap/>
              <w:bidi w:val="0"/>
              <w:spacing w:line="240" w:lineRule="auto"/>
              <w:ind w:left="0" w:leftChars="0" w:right="0" w:rightChars="0" w:firstLine="0" w:firstLineChars="0"/>
              <w:jc w:val="center"/>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690" w:type="dxa"/>
            <w:vAlign w:val="center"/>
          </w:tcPr>
          <w:p>
            <w:pPr>
              <w:kinsoku/>
              <w:wordWrap/>
              <w:bidi w:val="0"/>
              <w:spacing w:line="360" w:lineRule="auto"/>
              <w:ind w:left="0" w:leftChars="0" w:right="0" w:rightChars="0" w:firstLine="0" w:firstLineChars="0"/>
              <w:jc w:val="center"/>
              <w:rPr>
                <w:rFonts w:hint="default" w:ascii="Times New Roman" w:hAnsi="Times New Roman" w:eastAsia="宋体" w:cs="Times New Roman"/>
                <w:b/>
                <w:bCs/>
                <w:color w:val="auto"/>
                <w:kern w:val="0"/>
                <w:sz w:val="24"/>
                <w:szCs w:val="24"/>
                <w:highlight w:val="none"/>
              </w:rPr>
            </w:pPr>
            <w:r>
              <w:rPr>
                <w:rFonts w:hint="default" w:ascii="Times New Roman" w:hAnsi="Times New Roman" w:eastAsia="宋体" w:cs="Times New Roman"/>
                <w:b/>
                <w:bCs/>
                <w:color w:val="auto"/>
                <w:kern w:val="0"/>
                <w:sz w:val="24"/>
                <w:szCs w:val="24"/>
                <w:highlight w:val="none"/>
              </w:rPr>
              <w:t>其他符合性分析</w:t>
            </w:r>
          </w:p>
        </w:tc>
        <w:tc>
          <w:tcPr>
            <w:tcW w:w="7381" w:type="dxa"/>
            <w:gridSpan w:val="3"/>
            <w:vAlign w:val="center"/>
          </w:tcPr>
          <w:p>
            <w:pPr>
              <w:keepNext w:val="0"/>
              <w:keepLines w:val="0"/>
              <w:pageBreakBefore w:val="0"/>
              <w:widowControl w:val="0"/>
              <w:kinsoku/>
              <w:wordWrap/>
              <w:overflowPunct/>
              <w:autoSpaceDN/>
              <w:bidi w:val="0"/>
              <w:adjustRightInd/>
              <w:spacing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rPr>
              <w:t>1、</w:t>
            </w:r>
            <w:r>
              <w:rPr>
                <w:rFonts w:hint="default" w:ascii="Times New Roman" w:hAnsi="Times New Roman" w:eastAsia="宋体" w:cs="Times New Roman"/>
                <w:b/>
                <w:bCs/>
                <w:color w:val="auto"/>
                <w:sz w:val="24"/>
                <w:szCs w:val="24"/>
                <w:highlight w:val="none"/>
                <w:lang w:val="en-US" w:eastAsia="zh-CN"/>
              </w:rPr>
              <w:t>产业政策符合性及其他符合性分析</w:t>
            </w:r>
          </w:p>
          <w:p>
            <w:pPr>
              <w:keepNext w:val="0"/>
              <w:keepLines w:val="0"/>
              <w:pageBreakBefore w:val="0"/>
              <w:widowControl w:val="0"/>
              <w:kinsoku/>
              <w:wordWrap/>
              <w:overflowPunct/>
              <w:autoSpaceDN/>
              <w:bidi w:val="0"/>
              <w:adjustRightInd/>
              <w:spacing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1.1产业政策符合性分析</w:t>
            </w:r>
          </w:p>
          <w:p>
            <w:pPr>
              <w:keepNext w:val="0"/>
              <w:keepLines w:val="0"/>
              <w:pageBreakBefore w:val="0"/>
              <w:widowControl w:val="0"/>
              <w:kinsoku/>
              <w:wordWrap/>
              <w:overflowPunct/>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改建项目不属于《产业结构调整指导目录（2024年本）》（国家发展和改革委员会令第7号）中鼓励类、限制类、淘汰类，故改建项目属于国家政策允许建设的项目。</w:t>
            </w:r>
          </w:p>
          <w:p>
            <w:pPr>
              <w:keepNext w:val="0"/>
              <w:keepLines w:val="0"/>
              <w:pageBreakBefore w:val="0"/>
              <w:widowControl w:val="0"/>
              <w:kinsoku/>
              <w:wordWrap/>
              <w:overflowPunct/>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因此，改建项目的建设符合产业政策要求。</w:t>
            </w:r>
          </w:p>
          <w:p>
            <w:pPr>
              <w:keepNext w:val="0"/>
              <w:keepLines w:val="0"/>
              <w:pageBreakBefore w:val="0"/>
              <w:widowControl w:val="0"/>
              <w:tabs>
                <w:tab w:val="left" w:pos="626"/>
              </w:tabs>
              <w:kinsoku/>
              <w:wordWrap/>
              <w:overflowPunct/>
              <w:autoSpaceDN/>
              <w:bidi w:val="0"/>
              <w:adjustRightInd/>
              <w:spacing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1.2选址合理性分析</w:t>
            </w:r>
          </w:p>
          <w:p>
            <w:pPr>
              <w:keepNext w:val="0"/>
              <w:keepLines w:val="0"/>
              <w:pageBreakBefore w:val="0"/>
              <w:widowControl w:val="0"/>
              <w:kinsoku/>
              <w:wordWrap/>
              <w:overflowPunct/>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改建项目位于</w:t>
            </w:r>
            <w:r>
              <w:rPr>
                <w:rFonts w:hint="eastAsia" w:cs="Times New Roman"/>
                <w:b w:val="0"/>
                <w:bCs w:val="0"/>
                <w:color w:val="auto"/>
                <w:sz w:val="24"/>
                <w:szCs w:val="24"/>
                <w:highlight w:val="none"/>
                <w:vertAlign w:val="baseline"/>
                <w:lang w:val="en-US" w:eastAsia="zh-CN"/>
              </w:rPr>
              <w:t>内蒙古自治区巴彦淖尔市乌拉特前旗小佘太镇东五份子村</w:t>
            </w:r>
            <w:r>
              <w:rPr>
                <w:rFonts w:hint="default" w:ascii="Times New Roman" w:hAnsi="Times New Roman" w:eastAsia="宋体" w:cs="Times New Roman"/>
                <w:b w:val="0"/>
                <w:bCs w:val="0"/>
                <w:color w:val="auto"/>
                <w:sz w:val="24"/>
                <w:szCs w:val="24"/>
                <w:highlight w:val="none"/>
                <w:vertAlign w:val="baseline"/>
                <w:lang w:val="en-US" w:eastAsia="zh-CN"/>
              </w:rPr>
              <w:t>，</w:t>
            </w:r>
            <w:r>
              <w:rPr>
                <w:rFonts w:hint="eastAsia" w:cs="Times New Roman"/>
                <w:b w:val="0"/>
                <w:bCs w:val="0"/>
                <w:color w:val="auto"/>
                <w:sz w:val="24"/>
                <w:szCs w:val="24"/>
                <w:highlight w:val="none"/>
                <w:vertAlign w:val="baseline"/>
                <w:lang w:val="en-US" w:eastAsia="zh-CN"/>
              </w:rPr>
              <w:t>大中矿业股份有限公司</w:t>
            </w:r>
            <w:r>
              <w:rPr>
                <w:rFonts w:hint="default" w:ascii="Times New Roman" w:hAnsi="Times New Roman" w:eastAsia="宋体" w:cs="Times New Roman"/>
                <w:color w:val="auto"/>
                <w:sz w:val="24"/>
                <w:szCs w:val="24"/>
                <w:highlight w:val="none"/>
                <w:lang w:val="en-US" w:eastAsia="zh-CN"/>
              </w:rPr>
              <w:t>现有锅炉房内，不新增占地，</w:t>
            </w:r>
            <w:r>
              <w:rPr>
                <w:rFonts w:hint="default" w:ascii="Times New Roman" w:hAnsi="Times New Roman" w:eastAsia="宋体" w:cs="Times New Roman"/>
                <w:color w:val="auto"/>
                <w:sz w:val="24"/>
                <w:highlight w:val="none"/>
                <w:lang w:eastAsia="zh-CN"/>
              </w:rPr>
              <w:t>原有</w:t>
            </w:r>
            <w:r>
              <w:rPr>
                <w:rFonts w:hint="default" w:ascii="Times New Roman" w:hAnsi="Times New Roman" w:eastAsia="宋体" w:cs="Times New Roman"/>
                <w:color w:val="auto"/>
                <w:sz w:val="24"/>
                <w:highlight w:val="none"/>
              </w:rPr>
              <w:t>供水、供电设施齐全，公用工程依托条件较好；</w:t>
            </w:r>
            <w:r>
              <w:rPr>
                <w:rFonts w:hint="default" w:ascii="Times New Roman" w:hAnsi="Times New Roman" w:eastAsia="宋体" w:cs="Times New Roman"/>
                <w:color w:val="auto"/>
                <w:sz w:val="24"/>
                <w:highlight w:val="none"/>
                <w:lang w:val="en-US" w:eastAsia="zh-CN"/>
              </w:rPr>
              <w:t>锅炉房</w:t>
            </w:r>
            <w:r>
              <w:rPr>
                <w:rFonts w:hint="default" w:ascii="Times New Roman" w:hAnsi="Times New Roman" w:eastAsia="宋体" w:cs="Times New Roman"/>
                <w:color w:val="auto"/>
                <w:sz w:val="24"/>
                <w:highlight w:val="none"/>
              </w:rPr>
              <w:t>周边无准水源保护地、饮用水源保护区、风景名胜区、自然保护区、文物古迹等敏感点。</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改建项目</w:t>
            </w:r>
            <w:r>
              <w:rPr>
                <w:rFonts w:hint="default" w:ascii="Times New Roman" w:hAnsi="Times New Roman" w:eastAsia="宋体" w:cs="Times New Roman"/>
                <w:color w:val="auto"/>
                <w:sz w:val="24"/>
                <w:highlight w:val="none"/>
              </w:rPr>
              <w:t>运营期废气经处理后均可达标排放；软水制备废水和</w:t>
            </w:r>
            <w:r>
              <w:rPr>
                <w:rFonts w:hint="default" w:ascii="Times New Roman" w:hAnsi="Times New Roman" w:eastAsia="宋体" w:cs="Times New Roman"/>
                <w:color w:val="auto"/>
                <w:sz w:val="24"/>
                <w:highlight w:val="none"/>
                <w:lang w:eastAsia="zh-CN"/>
              </w:rPr>
              <w:t>锅炉定期排污水</w:t>
            </w:r>
            <w:r>
              <w:rPr>
                <w:rFonts w:hint="default" w:ascii="Times New Roman" w:hAnsi="Times New Roman" w:eastAsia="宋体" w:cs="Times New Roman"/>
                <w:color w:val="auto"/>
                <w:sz w:val="24"/>
                <w:highlight w:val="none"/>
              </w:rPr>
              <w:t>用于</w:t>
            </w:r>
            <w:r>
              <w:rPr>
                <w:rFonts w:hint="default" w:ascii="Times New Roman" w:hAnsi="Times New Roman" w:eastAsia="宋体" w:cs="Times New Roman"/>
                <w:color w:val="auto"/>
                <w:sz w:val="24"/>
                <w:highlight w:val="none"/>
                <w:lang w:eastAsia="zh-CN"/>
              </w:rPr>
              <w:t>灰渣库抑尘、厂区空地降尘洒水，不外排；脱硫废水循环使用，不外排</w:t>
            </w:r>
            <w:r>
              <w:rPr>
                <w:rFonts w:hint="default" w:ascii="Times New Roman" w:hAnsi="Times New Roman" w:eastAsia="宋体" w:cs="Times New Roman"/>
                <w:color w:val="auto"/>
                <w:sz w:val="24"/>
                <w:highlight w:val="none"/>
              </w:rPr>
              <w:t>；噪声对周围声环境影响较小；固废全部妥善处置</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对周围环境影响较小。</w:t>
            </w:r>
          </w:p>
          <w:p>
            <w:pPr>
              <w:keepNext w:val="0"/>
              <w:keepLines w:val="0"/>
              <w:pageBreakBefore w:val="0"/>
              <w:widowControl w:val="0"/>
              <w:kinsoku/>
              <w:wordWrap/>
              <w:overflowPunct/>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highlight w:val="none"/>
                <w:lang w:val="en-GB"/>
              </w:rPr>
              <w:t>综上所述，</w:t>
            </w:r>
            <w:r>
              <w:rPr>
                <w:rFonts w:hint="default" w:ascii="Times New Roman" w:hAnsi="Times New Roman" w:eastAsia="宋体" w:cs="Times New Roman"/>
                <w:color w:val="auto"/>
                <w:sz w:val="24"/>
                <w:highlight w:val="none"/>
                <w:lang w:eastAsia="zh-CN"/>
              </w:rPr>
              <w:t>改建项目</w:t>
            </w:r>
            <w:r>
              <w:rPr>
                <w:rFonts w:hint="default" w:ascii="Times New Roman" w:hAnsi="Times New Roman" w:eastAsia="宋体" w:cs="Times New Roman"/>
                <w:color w:val="auto"/>
                <w:sz w:val="24"/>
                <w:highlight w:val="none"/>
              </w:rPr>
              <w:t>选址较为合理。</w:t>
            </w:r>
          </w:p>
          <w:p>
            <w:pPr>
              <w:keepNext w:val="0"/>
              <w:keepLines w:val="0"/>
              <w:pageBreakBefore w:val="0"/>
              <w:widowControl w:val="0"/>
              <w:kinsoku/>
              <w:wordWrap/>
              <w:overflowPunct/>
              <w:autoSpaceDN/>
              <w:bidi w:val="0"/>
              <w:adjustRightInd/>
              <w:spacing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2、与</w:t>
            </w:r>
            <w:r>
              <w:rPr>
                <w:rFonts w:hint="default" w:ascii="Times New Roman" w:hAnsi="Times New Roman" w:eastAsia="宋体" w:cs="Times New Roman"/>
                <w:b/>
                <w:bCs/>
                <w:color w:val="auto"/>
                <w:sz w:val="24"/>
                <w:szCs w:val="24"/>
                <w:highlight w:val="none"/>
              </w:rPr>
              <w:t>“三线一单”符合性分析</w:t>
            </w:r>
          </w:p>
          <w:p>
            <w:pPr>
              <w:keepNext w:val="0"/>
              <w:keepLines w:val="0"/>
              <w:pageBreakBefore w:val="0"/>
              <w:widowControl w:val="0"/>
              <w:kinsoku/>
              <w:wordWrap/>
              <w:overflowPunct/>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（1）生态保护红线</w:t>
            </w:r>
          </w:p>
          <w:p>
            <w:pPr>
              <w:keepNext w:val="0"/>
              <w:keepLines w:val="0"/>
              <w:pageBreakBefore w:val="0"/>
              <w:widowControl w:val="0"/>
              <w:kinsoku/>
              <w:wordWrap/>
              <w:overflowPunct/>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根据《巴彦淖尔市人民政府办公室关于巴彦淖尔市2023年生态环境分区管控成果动态更新的通知》（巴政办字</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2023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106号），巴彦淖尔市全市共划定环境管控单元256个，包括优先保护单元、重点管控单元、一般管控单元三类，实施分类管控。</w:t>
            </w:r>
          </w:p>
          <w:p>
            <w:pPr>
              <w:keepNext w:val="0"/>
              <w:keepLines w:val="0"/>
              <w:pageBreakBefore w:val="0"/>
              <w:widowControl w:val="0"/>
              <w:suppressLineNumbers w:val="0"/>
              <w:shd w:val="clear"/>
              <w:kinsoku/>
              <w:wordWrap/>
              <w:overflowPunct/>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改建项目位于巴彦淖尔市乌拉特前旗小佘太镇东五份子村，</w:t>
            </w:r>
            <w:r>
              <w:rPr>
                <w:rFonts w:hint="default" w:ascii="Times New Roman" w:hAnsi="Times New Roman" w:eastAsia="宋体" w:cs="Times New Roman"/>
                <w:color w:val="auto"/>
                <w:sz w:val="24"/>
                <w:szCs w:val="24"/>
                <w:highlight w:val="none"/>
                <w:lang w:eastAsia="zh-CN"/>
              </w:rPr>
              <w:t>属于</w:t>
            </w:r>
            <w:r>
              <w:rPr>
                <w:rFonts w:hint="default" w:ascii="Times New Roman" w:hAnsi="Times New Roman" w:eastAsia="宋体" w:cs="Times New Roman"/>
                <w:color w:val="auto"/>
                <w:sz w:val="24"/>
                <w:szCs w:val="24"/>
                <w:highlight w:val="none"/>
                <w:lang w:val="en-US" w:eastAsia="zh-CN"/>
              </w:rPr>
              <w:t>小佘太镇采矿用地，属于重点管控单元，单元编码为：ZH15082320015，不在乌拉特前旗生态保护红线范围内。</w:t>
            </w:r>
          </w:p>
          <w:p>
            <w:pPr>
              <w:keepNext w:val="0"/>
              <w:keepLines w:val="0"/>
              <w:pageBreakBefore w:val="0"/>
              <w:widowControl w:val="0"/>
              <w:suppressLineNumbers w:val="0"/>
              <w:shd w:val="clear"/>
              <w:kinsoku/>
              <w:wordWrap/>
              <w:overflowPunct/>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（2）环境质量底线</w:t>
            </w:r>
          </w:p>
          <w:p>
            <w:pPr>
              <w:keepNext w:val="0"/>
              <w:keepLines w:val="0"/>
              <w:pageBreakBefore w:val="0"/>
              <w:widowControl w:val="0"/>
              <w:suppressLineNumbers w:val="0"/>
              <w:shd w:val="clear"/>
              <w:kinsoku/>
              <w:wordWrap/>
              <w:overflowPunct/>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shd w:val="clear" w:color="auto" w:fill="auto"/>
                <w:lang w:eastAsia="zh-CN"/>
              </w:rPr>
              <w:t>根据《巴彦淖尔市环境质量状况公报（2023年）》可知，改建项目所在地巴彦淖尔市乌拉特前旗</w:t>
            </w:r>
            <w:r>
              <w:rPr>
                <w:rFonts w:hint="default" w:ascii="Times New Roman" w:hAnsi="Times New Roman" w:eastAsia="宋体" w:cs="Times New Roman"/>
                <w:color w:val="auto"/>
                <w:kern w:val="0"/>
                <w:sz w:val="24"/>
                <w:szCs w:val="24"/>
                <w:highlight w:val="none"/>
                <w:shd w:val="clear" w:color="auto" w:fill="auto"/>
                <w:lang w:val="en-US" w:eastAsia="zh-CN"/>
              </w:rPr>
              <w:t>2023年大气环境中6项</w:t>
            </w:r>
            <w:r>
              <w:rPr>
                <w:rFonts w:hint="default" w:ascii="Times New Roman" w:hAnsi="Times New Roman" w:eastAsia="宋体" w:cs="Times New Roman"/>
                <w:color w:val="auto"/>
                <w:kern w:val="0"/>
                <w:sz w:val="24"/>
                <w:szCs w:val="24"/>
                <w:highlight w:val="none"/>
                <w:shd w:val="clear" w:color="auto" w:fill="auto"/>
              </w:rPr>
              <w:t>污染物</w:t>
            </w:r>
            <w:r>
              <w:rPr>
                <w:rFonts w:hint="default" w:ascii="Times New Roman" w:hAnsi="Times New Roman" w:eastAsia="宋体" w:cs="Times New Roman"/>
                <w:color w:val="auto"/>
                <w:kern w:val="0"/>
                <w:sz w:val="24"/>
                <w:szCs w:val="24"/>
                <w:highlight w:val="none"/>
                <w:shd w:val="clear" w:color="auto" w:fill="auto"/>
                <w:lang w:eastAsia="zh-CN"/>
              </w:rPr>
              <w:t>中</w:t>
            </w:r>
            <w:r>
              <w:rPr>
                <w:rFonts w:hint="default" w:ascii="Times New Roman" w:hAnsi="Times New Roman" w:eastAsia="宋体" w:cs="Times New Roman"/>
                <w:color w:val="auto"/>
                <w:kern w:val="0"/>
                <w:sz w:val="24"/>
                <w:szCs w:val="24"/>
                <w:highlight w:val="none"/>
                <w:shd w:val="clear" w:color="auto" w:fill="auto"/>
              </w:rPr>
              <w:t>SO</w:t>
            </w:r>
            <w:r>
              <w:rPr>
                <w:rFonts w:hint="default" w:ascii="Times New Roman" w:hAnsi="Times New Roman" w:eastAsia="宋体" w:cs="Times New Roman"/>
                <w:color w:val="auto"/>
                <w:kern w:val="0"/>
                <w:sz w:val="24"/>
                <w:szCs w:val="24"/>
                <w:highlight w:val="none"/>
                <w:shd w:val="clear" w:color="auto" w:fill="auto"/>
                <w:vertAlign w:val="subscript"/>
              </w:rPr>
              <w:t>2</w:t>
            </w:r>
            <w:r>
              <w:rPr>
                <w:rFonts w:hint="default" w:ascii="Times New Roman" w:hAnsi="Times New Roman" w:eastAsia="宋体" w:cs="Times New Roman"/>
                <w:color w:val="auto"/>
                <w:kern w:val="0"/>
                <w:sz w:val="24"/>
                <w:szCs w:val="24"/>
                <w:highlight w:val="none"/>
                <w:shd w:val="clear" w:color="auto" w:fill="auto"/>
              </w:rPr>
              <w:t>、NO</w:t>
            </w:r>
            <w:r>
              <w:rPr>
                <w:rFonts w:hint="default" w:ascii="Times New Roman" w:hAnsi="Times New Roman" w:eastAsia="宋体" w:cs="Times New Roman"/>
                <w:color w:val="auto"/>
                <w:kern w:val="0"/>
                <w:sz w:val="24"/>
                <w:szCs w:val="24"/>
                <w:highlight w:val="none"/>
                <w:shd w:val="clear" w:color="auto" w:fill="auto"/>
                <w:vertAlign w:val="subscript"/>
              </w:rPr>
              <w:t>2</w:t>
            </w:r>
            <w:r>
              <w:rPr>
                <w:rFonts w:hint="default" w:ascii="Times New Roman" w:hAnsi="Times New Roman" w:eastAsia="宋体" w:cs="Times New Roman"/>
                <w:color w:val="auto"/>
                <w:kern w:val="0"/>
                <w:sz w:val="24"/>
                <w:szCs w:val="24"/>
                <w:highlight w:val="none"/>
                <w:shd w:val="clear" w:color="auto" w:fill="auto"/>
              </w:rPr>
              <w:t>、PM</w:t>
            </w:r>
            <w:r>
              <w:rPr>
                <w:rFonts w:hint="default" w:ascii="Times New Roman" w:hAnsi="Times New Roman" w:eastAsia="宋体" w:cs="Times New Roman"/>
                <w:color w:val="auto"/>
                <w:kern w:val="0"/>
                <w:sz w:val="24"/>
                <w:szCs w:val="24"/>
                <w:highlight w:val="none"/>
                <w:shd w:val="clear" w:color="auto" w:fill="auto"/>
                <w:vertAlign w:val="subscript"/>
              </w:rPr>
              <w:t>10</w:t>
            </w:r>
            <w:r>
              <w:rPr>
                <w:rFonts w:hint="default" w:ascii="Times New Roman" w:hAnsi="Times New Roman" w:eastAsia="宋体" w:cs="Times New Roman"/>
                <w:color w:val="auto"/>
                <w:kern w:val="0"/>
                <w:sz w:val="24"/>
                <w:szCs w:val="24"/>
                <w:highlight w:val="none"/>
                <w:shd w:val="clear" w:color="auto" w:fill="auto"/>
              </w:rPr>
              <w:t>、PM</w:t>
            </w:r>
            <w:r>
              <w:rPr>
                <w:rFonts w:hint="default" w:ascii="Times New Roman" w:hAnsi="Times New Roman" w:eastAsia="宋体" w:cs="Times New Roman"/>
                <w:color w:val="auto"/>
                <w:kern w:val="0"/>
                <w:sz w:val="24"/>
                <w:szCs w:val="24"/>
                <w:highlight w:val="none"/>
                <w:shd w:val="clear" w:color="auto" w:fill="auto"/>
                <w:vertAlign w:val="subscript"/>
              </w:rPr>
              <w:t>2.5</w:t>
            </w:r>
            <w:r>
              <w:rPr>
                <w:rFonts w:hint="default" w:ascii="Times New Roman" w:hAnsi="Times New Roman" w:eastAsia="宋体" w:cs="Times New Roman"/>
                <w:color w:val="auto"/>
                <w:kern w:val="0"/>
                <w:sz w:val="24"/>
                <w:szCs w:val="24"/>
                <w:highlight w:val="none"/>
                <w:shd w:val="clear" w:color="auto" w:fill="auto"/>
              </w:rPr>
              <w:t>、CO和O</w:t>
            </w:r>
            <w:r>
              <w:rPr>
                <w:rFonts w:hint="default" w:ascii="Times New Roman" w:hAnsi="Times New Roman" w:eastAsia="宋体" w:cs="Times New Roman"/>
                <w:color w:val="auto"/>
                <w:kern w:val="0"/>
                <w:sz w:val="24"/>
                <w:szCs w:val="24"/>
                <w:highlight w:val="none"/>
                <w:shd w:val="clear" w:color="auto" w:fill="auto"/>
                <w:vertAlign w:val="subscript"/>
              </w:rPr>
              <w:t>3</w:t>
            </w:r>
            <w:r>
              <w:rPr>
                <w:rFonts w:hint="default" w:ascii="Times New Roman" w:hAnsi="Times New Roman" w:eastAsia="宋体" w:cs="Times New Roman"/>
                <w:color w:val="auto"/>
                <w:kern w:val="0"/>
                <w:sz w:val="24"/>
                <w:szCs w:val="24"/>
                <w:highlight w:val="none"/>
                <w:shd w:val="clear" w:color="auto" w:fill="auto"/>
              </w:rPr>
              <w:t>质量浓度</w:t>
            </w:r>
            <w:r>
              <w:rPr>
                <w:rFonts w:hint="default" w:ascii="Times New Roman" w:hAnsi="Times New Roman" w:eastAsia="宋体" w:cs="Times New Roman"/>
                <w:color w:val="auto"/>
                <w:kern w:val="0"/>
                <w:sz w:val="24"/>
                <w:szCs w:val="24"/>
                <w:highlight w:val="none"/>
                <w:shd w:val="clear" w:color="auto" w:fill="auto"/>
                <w:lang w:eastAsia="zh-CN"/>
              </w:rPr>
              <w:t>均满足</w:t>
            </w:r>
            <w:r>
              <w:rPr>
                <w:rFonts w:hint="default" w:ascii="Times New Roman" w:hAnsi="Times New Roman" w:eastAsia="宋体" w:cs="Times New Roman"/>
                <w:color w:val="auto"/>
                <w:kern w:val="0"/>
                <w:sz w:val="24"/>
                <w:szCs w:val="24"/>
                <w:highlight w:val="none"/>
                <w:shd w:val="clear" w:color="auto" w:fill="auto"/>
              </w:rPr>
              <w:t>《环境空气质量标准》（GB3095-2012）二级标准</w:t>
            </w:r>
            <w:r>
              <w:rPr>
                <w:rFonts w:hint="default" w:ascii="Times New Roman" w:hAnsi="Times New Roman" w:eastAsia="宋体" w:cs="Times New Roman"/>
                <w:color w:val="auto"/>
                <w:kern w:val="0"/>
                <w:sz w:val="24"/>
                <w:szCs w:val="24"/>
                <w:highlight w:val="none"/>
                <w:shd w:val="clear" w:color="auto" w:fill="auto"/>
                <w:vertAlign w:val="baseline"/>
              </w:rPr>
              <w:t>限值</w:t>
            </w:r>
            <w:r>
              <w:rPr>
                <w:rFonts w:hint="default" w:ascii="Times New Roman" w:hAnsi="Times New Roman" w:eastAsia="宋体" w:cs="Times New Roman"/>
                <w:color w:val="auto"/>
                <w:kern w:val="0"/>
                <w:sz w:val="24"/>
                <w:szCs w:val="24"/>
                <w:highlight w:val="none"/>
                <w:shd w:val="clear" w:color="auto" w:fill="auto"/>
                <w:lang w:eastAsia="zh-CN"/>
              </w:rPr>
              <w:t>，</w:t>
            </w:r>
            <w:r>
              <w:rPr>
                <w:rFonts w:hint="default" w:ascii="Times New Roman" w:hAnsi="Times New Roman" w:eastAsia="宋体" w:cs="Times New Roman"/>
                <w:color w:val="auto"/>
                <w:kern w:val="0"/>
                <w:sz w:val="24"/>
                <w:szCs w:val="24"/>
                <w:highlight w:val="none"/>
                <w:shd w:val="clear" w:color="auto" w:fill="auto"/>
              </w:rPr>
              <w:t>由此可判断</w:t>
            </w:r>
            <w:r>
              <w:rPr>
                <w:rFonts w:hint="default" w:ascii="Times New Roman" w:hAnsi="Times New Roman" w:eastAsia="宋体" w:cs="Times New Roman"/>
                <w:color w:val="auto"/>
                <w:kern w:val="0"/>
                <w:sz w:val="24"/>
                <w:szCs w:val="24"/>
                <w:highlight w:val="none"/>
                <w:shd w:val="clear" w:color="auto" w:fill="auto"/>
                <w:lang w:eastAsia="zh-CN"/>
              </w:rPr>
              <w:t>乌拉特前旗为</w:t>
            </w:r>
            <w:r>
              <w:rPr>
                <w:rFonts w:hint="default" w:ascii="Times New Roman" w:hAnsi="Times New Roman" w:eastAsia="宋体" w:cs="Times New Roman"/>
                <w:color w:val="auto"/>
                <w:kern w:val="0"/>
                <w:sz w:val="24"/>
                <w:szCs w:val="24"/>
                <w:highlight w:val="none"/>
                <w:shd w:val="clear" w:color="auto" w:fill="auto"/>
              </w:rPr>
              <w:t>达标区</w:t>
            </w:r>
            <w:r>
              <w:rPr>
                <w:rFonts w:hint="default" w:ascii="Times New Roman" w:hAnsi="Times New Roman" w:eastAsia="宋体" w:cs="Times New Roman"/>
                <w:color w:val="auto"/>
                <w:sz w:val="24"/>
                <w:szCs w:val="24"/>
                <w:highlight w:val="none"/>
              </w:rPr>
              <w:t>。</w:t>
            </w:r>
          </w:p>
          <w:p>
            <w:pPr>
              <w:keepNext w:val="0"/>
              <w:keepLines w:val="0"/>
              <w:pageBreakBefore w:val="0"/>
              <w:widowControl w:val="0"/>
              <w:suppressLineNumbers w:val="0"/>
              <w:shd w:val="clear"/>
              <w:kinsoku/>
              <w:wordWrap/>
              <w:overflowPunct/>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highlight w:val="none"/>
                <w:lang w:eastAsia="zh-CN"/>
              </w:rPr>
              <w:t>改建项目</w:t>
            </w:r>
            <w:r>
              <w:rPr>
                <w:rFonts w:hint="default" w:ascii="Times New Roman" w:hAnsi="Times New Roman" w:eastAsia="宋体" w:cs="Times New Roman"/>
                <w:color w:val="auto"/>
                <w:sz w:val="24"/>
                <w:highlight w:val="none"/>
              </w:rPr>
              <w:t>运营期废气经处理后均可达标排放；软水制备废水和</w:t>
            </w:r>
            <w:r>
              <w:rPr>
                <w:rFonts w:hint="default" w:ascii="Times New Roman" w:hAnsi="Times New Roman" w:eastAsia="宋体" w:cs="Times New Roman"/>
                <w:color w:val="auto"/>
                <w:sz w:val="24"/>
                <w:highlight w:val="none"/>
                <w:lang w:eastAsia="zh-CN"/>
              </w:rPr>
              <w:t>锅炉定期排污水</w:t>
            </w:r>
            <w:r>
              <w:rPr>
                <w:rFonts w:hint="default" w:ascii="Times New Roman" w:hAnsi="Times New Roman" w:eastAsia="宋体" w:cs="Times New Roman"/>
                <w:color w:val="auto"/>
                <w:sz w:val="24"/>
                <w:highlight w:val="none"/>
              </w:rPr>
              <w:t>用于</w:t>
            </w:r>
            <w:r>
              <w:rPr>
                <w:rFonts w:hint="default" w:ascii="Times New Roman" w:hAnsi="Times New Roman" w:eastAsia="宋体" w:cs="Times New Roman"/>
                <w:color w:val="auto"/>
                <w:sz w:val="24"/>
                <w:highlight w:val="none"/>
                <w:lang w:eastAsia="zh-CN"/>
              </w:rPr>
              <w:t>灰渣库抑尘、厂区空地降尘洒水，不外排；脱硫废水循环使用，不外排</w:t>
            </w:r>
            <w:r>
              <w:rPr>
                <w:rFonts w:hint="default" w:ascii="Times New Roman" w:hAnsi="Times New Roman" w:eastAsia="宋体" w:cs="Times New Roman"/>
                <w:color w:val="auto"/>
                <w:sz w:val="24"/>
                <w:highlight w:val="none"/>
              </w:rPr>
              <w:t>；噪声对周围声环境影响较小；固废全部妥善处置；对周围环境影响较小</w:t>
            </w:r>
            <w:r>
              <w:rPr>
                <w:rFonts w:hint="default" w:ascii="Times New Roman" w:hAnsi="Times New Roman" w:eastAsia="宋体" w:cs="Times New Roman"/>
                <w:color w:val="auto"/>
                <w:sz w:val="24"/>
                <w:szCs w:val="24"/>
                <w:highlight w:val="none"/>
              </w:rPr>
              <w:t>。</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因此，</w:t>
            </w:r>
            <w:r>
              <w:rPr>
                <w:rFonts w:hint="default" w:ascii="Times New Roman" w:hAnsi="Times New Roman" w:eastAsia="宋体" w:cs="Times New Roman"/>
                <w:color w:val="auto"/>
                <w:highlight w:val="none"/>
                <w:lang w:eastAsia="zh-CN"/>
              </w:rPr>
              <w:t>改建项目</w:t>
            </w:r>
            <w:r>
              <w:rPr>
                <w:rFonts w:hint="default" w:ascii="Times New Roman" w:hAnsi="Times New Roman" w:eastAsia="宋体" w:cs="Times New Roman"/>
                <w:color w:val="auto"/>
                <w:highlight w:val="none"/>
              </w:rPr>
              <w:t>实施后不会对项目所在地的环境质量造成不利影响，项目所在地环境质量可维持现有水平，</w:t>
            </w:r>
            <w:r>
              <w:rPr>
                <w:rFonts w:hint="default" w:ascii="Times New Roman" w:hAnsi="Times New Roman" w:eastAsia="宋体" w:cs="Times New Roman"/>
                <w:color w:val="auto"/>
                <w:highlight w:val="none"/>
                <w:lang w:eastAsia="zh-CN"/>
              </w:rPr>
              <w:t>改建项目</w:t>
            </w:r>
            <w:r>
              <w:rPr>
                <w:rFonts w:hint="default" w:ascii="Times New Roman" w:hAnsi="Times New Roman" w:eastAsia="宋体" w:cs="Times New Roman"/>
                <w:color w:val="auto"/>
                <w:highlight w:val="none"/>
              </w:rPr>
              <w:t>符合环境质量底线要求。</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（3）资源利用上线</w:t>
            </w:r>
          </w:p>
          <w:p>
            <w:pPr>
              <w:bidi w:val="0"/>
              <w:rPr>
                <w:rFonts w:hint="default" w:ascii="Times New Roman" w:hAnsi="Times New Roman" w:eastAsia="宋体" w:cs="Times New Roman"/>
                <w:color w:val="auto"/>
                <w:highlight w:val="none"/>
              </w:rPr>
            </w:pPr>
            <w:r>
              <w:rPr>
                <w:rFonts w:hint="eastAsia" w:cs="Times New Roman"/>
                <w:color w:val="auto"/>
                <w:highlight w:val="none"/>
                <w:lang w:val="en-US" w:eastAsia="zh-CN"/>
              </w:rPr>
              <w:t>改建前</w:t>
            </w:r>
            <w:r>
              <w:rPr>
                <w:rFonts w:hint="default" w:ascii="Times New Roman" w:hAnsi="Times New Roman" w:eastAsia="宋体" w:cs="Times New Roman"/>
                <w:color w:val="auto"/>
                <w:highlight w:val="none"/>
                <w:lang w:eastAsia="zh-CN"/>
              </w:rPr>
              <w:t>3台4t/h燃煤热水锅炉</w:t>
            </w:r>
            <w:r>
              <w:rPr>
                <w:rFonts w:hint="eastAsia" w:cs="Times New Roman"/>
                <w:color w:val="auto"/>
                <w:highlight w:val="none"/>
                <w:lang w:val="en-US" w:eastAsia="zh-CN"/>
              </w:rPr>
              <w:t>燃煤消耗量为1600t，综合能耗当量值为1142.88tce/a；改建后1台10t/h的生物质热水锅炉生物质燃料消耗量为2160t，综合能耗当量值为1208.952tce/a，改建后用电量减少，</w:t>
            </w:r>
            <w:r>
              <w:rPr>
                <w:rFonts w:hint="default" w:ascii="Times New Roman" w:hAnsi="Times New Roman" w:eastAsia="宋体" w:cs="Times New Roman"/>
                <w:color w:val="auto"/>
                <w:highlight w:val="none"/>
                <w:lang w:eastAsia="zh-CN"/>
              </w:rPr>
              <w:t>改建项目</w:t>
            </w:r>
            <w:r>
              <w:rPr>
                <w:rFonts w:hint="eastAsia" w:cs="Times New Roman"/>
                <w:color w:val="auto"/>
                <w:highlight w:val="none"/>
                <w:lang w:val="en-US" w:eastAsia="zh-CN"/>
              </w:rPr>
              <w:t>未超过现有项目综合能耗，因此，</w:t>
            </w:r>
            <w:r>
              <w:rPr>
                <w:rFonts w:hint="default" w:ascii="Times New Roman" w:hAnsi="Times New Roman" w:eastAsia="宋体" w:cs="Times New Roman"/>
                <w:color w:val="auto"/>
                <w:highlight w:val="none"/>
                <w:lang w:eastAsia="zh-CN"/>
              </w:rPr>
              <w:t>改建项目</w:t>
            </w:r>
            <w:r>
              <w:rPr>
                <w:rFonts w:hint="default" w:ascii="Times New Roman" w:hAnsi="Times New Roman" w:eastAsia="宋体" w:cs="Times New Roman"/>
                <w:color w:val="auto"/>
                <w:highlight w:val="none"/>
              </w:rPr>
              <w:t>的建设满足区域资源利用上线。</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（4）生态环境准入清单</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改建项目位于</w:t>
            </w:r>
            <w:r>
              <w:rPr>
                <w:rFonts w:hint="default" w:ascii="Times New Roman" w:hAnsi="Times New Roman" w:eastAsia="宋体" w:cs="Times New Roman"/>
                <w:color w:val="auto"/>
                <w:highlight w:val="none"/>
                <w:lang w:val="en-US" w:eastAsia="zh-CN"/>
              </w:rPr>
              <w:t>巴彦淖尔市乌拉特前旗小佘太镇东五份子村</w:t>
            </w:r>
            <w:r>
              <w:rPr>
                <w:rFonts w:hint="default" w:ascii="Times New Roman" w:hAnsi="Times New Roman" w:eastAsia="宋体" w:cs="Times New Roman"/>
                <w:color w:val="auto"/>
                <w:highlight w:val="none"/>
                <w:lang w:eastAsia="zh-CN"/>
              </w:rPr>
              <w:t>，根据巴彦淖尔市环境管控单元图，属于小佘太镇采矿用地环境管控单元，管控单元类别为重点管控单元，</w:t>
            </w:r>
            <w:r>
              <w:rPr>
                <w:rFonts w:hint="default" w:ascii="Times New Roman" w:hAnsi="Times New Roman" w:eastAsia="宋体" w:cs="Times New Roman"/>
                <w:color w:val="auto"/>
                <w:highlight w:val="none"/>
                <w:lang w:val="en-US" w:eastAsia="zh-CN"/>
              </w:rPr>
              <w:t>单元编码为：ZH15082320015。</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巴彦淖尔市总体准入要求符合性分析内容见表1-1；小佘太镇采矿用地生态环境准入清单符合性</w:t>
            </w:r>
            <w:r>
              <w:rPr>
                <w:rFonts w:hint="default" w:ascii="Times New Roman" w:hAnsi="Times New Roman" w:eastAsia="宋体" w:cs="Times New Roman"/>
                <w:color w:val="auto"/>
                <w:highlight w:val="none"/>
                <w:lang w:eastAsia="zh-CN"/>
              </w:rPr>
              <w:t>见下表</w:t>
            </w:r>
            <w:r>
              <w:rPr>
                <w:rFonts w:hint="default" w:ascii="Times New Roman" w:hAnsi="Times New Roman" w:eastAsia="宋体" w:cs="Times New Roman"/>
                <w:color w:val="auto"/>
                <w:highlight w:val="none"/>
                <w:lang w:val="en-US" w:eastAsia="zh-CN"/>
              </w:rPr>
              <w:t>1-2</w:t>
            </w:r>
            <w:r>
              <w:rPr>
                <w:rFonts w:hint="default" w:ascii="Times New Roman" w:hAnsi="Times New Roman" w:eastAsia="宋体" w:cs="Times New Roman"/>
                <w:color w:val="auto"/>
                <w:highlight w:val="none"/>
                <w:lang w:eastAsia="zh-CN"/>
              </w:rPr>
              <w:t>。</w:t>
            </w:r>
          </w:p>
          <w:p>
            <w:pPr>
              <w:keepNext w:val="0"/>
              <w:keepLines w:val="0"/>
              <w:pageBreakBefore w:val="0"/>
              <w:widowControl w:val="0"/>
              <w:tabs>
                <w:tab w:val="left" w:pos="4252"/>
                <w:tab w:val="left" w:pos="6271"/>
              </w:tabs>
              <w:kinsoku/>
              <w:wordWrap/>
              <w:overflowPunct/>
              <w:autoSpaceDN/>
              <w:bidi w:val="0"/>
              <w:adjustRightInd/>
              <w:ind w:left="0" w:leftChars="0" w:right="0" w:rightChars="0" w:firstLine="0" w:firstLine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表1</w:t>
            </w:r>
            <w:r>
              <w:rPr>
                <w:rFonts w:hint="default" w:ascii="Times New Roman" w:hAnsi="Times New Roman" w:eastAsia="宋体" w:cs="Times New Roman"/>
                <w:b/>
                <w:bCs/>
                <w:color w:val="auto"/>
                <w:sz w:val="24"/>
                <w:szCs w:val="24"/>
                <w:highlight w:val="none"/>
                <w:lang w:val="en-US" w:eastAsia="zh-CN"/>
              </w:rPr>
              <w:t xml:space="preserve">-1  </w:t>
            </w:r>
            <w:r>
              <w:rPr>
                <w:rFonts w:hint="default" w:ascii="Times New Roman" w:hAnsi="Times New Roman" w:eastAsia="宋体" w:cs="Times New Roman"/>
                <w:b/>
                <w:bCs/>
                <w:color w:val="auto"/>
                <w:sz w:val="24"/>
                <w:szCs w:val="24"/>
                <w:highlight w:val="none"/>
              </w:rPr>
              <w:t>巴彦淖尔市总体准入要求符合性分析表</w:t>
            </w:r>
          </w:p>
          <w:tbl>
            <w:tblPr>
              <w:tblStyle w:val="19"/>
              <w:tblW w:w="731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1"/>
              <w:gridCol w:w="4009"/>
              <w:gridCol w:w="2060"/>
              <w:gridCol w:w="6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0" w:type="dxa"/>
                  <w:tcBorders>
                    <w:tl2br w:val="nil"/>
                    <w:tr2bl w:val="nil"/>
                  </w:tcBorders>
                  <w:noWrap/>
                  <w:vAlign w:val="center"/>
                </w:tcPr>
                <w:p>
                  <w:pPr>
                    <w:pageBreakBefore w:val="0"/>
                    <w:widowControl/>
                    <w:kinsoku/>
                    <w:wordWrap/>
                    <w:overflowPunct/>
                    <w:bidi w:val="0"/>
                    <w:spacing w:line="240" w:lineRule="auto"/>
                    <w:ind w:left="0" w:leftChars="0" w:right="0" w:rightChars="0" w:firstLine="0" w:firstLineChars="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管控类型</w:t>
                  </w:r>
                </w:p>
              </w:tc>
              <w:tc>
                <w:tcPr>
                  <w:tcW w:w="4000" w:type="dxa"/>
                  <w:tcBorders>
                    <w:tl2br w:val="nil"/>
                    <w:tr2bl w:val="nil"/>
                  </w:tcBorders>
                  <w:noWrap/>
                  <w:vAlign w:val="center"/>
                </w:tcPr>
                <w:p>
                  <w:pPr>
                    <w:pageBreakBefore w:val="0"/>
                    <w:widowControl/>
                    <w:kinsoku/>
                    <w:wordWrap/>
                    <w:overflowPunct/>
                    <w:bidi w:val="0"/>
                    <w:spacing w:line="240" w:lineRule="auto"/>
                    <w:ind w:left="0" w:leftChars="0" w:right="0" w:rightChars="0" w:firstLine="0" w:firstLineChars="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管控要求</w:t>
                  </w:r>
                </w:p>
              </w:tc>
              <w:tc>
                <w:tcPr>
                  <w:tcW w:w="2055" w:type="dxa"/>
                  <w:tcBorders>
                    <w:tl2br w:val="nil"/>
                    <w:tr2bl w:val="nil"/>
                  </w:tcBorders>
                  <w:noWrap/>
                  <w:vAlign w:val="center"/>
                </w:tcPr>
                <w:p>
                  <w:pPr>
                    <w:pageBreakBefore w:val="0"/>
                    <w:widowControl/>
                    <w:kinsoku/>
                    <w:wordWrap/>
                    <w:overflowPunct/>
                    <w:bidi w:val="0"/>
                    <w:spacing w:line="240" w:lineRule="auto"/>
                    <w:ind w:left="0" w:leftChars="0" w:right="0" w:rightChars="0" w:firstLine="0" w:firstLineChars="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本项目情况</w:t>
                  </w:r>
                </w:p>
              </w:tc>
              <w:tc>
                <w:tcPr>
                  <w:tcW w:w="622" w:type="dxa"/>
                  <w:tcBorders>
                    <w:tl2br w:val="nil"/>
                    <w:tr2bl w:val="nil"/>
                  </w:tcBorders>
                  <w:noWrap/>
                  <w:vAlign w:val="center"/>
                </w:tcPr>
                <w:p>
                  <w:pPr>
                    <w:pageBreakBefore w:val="0"/>
                    <w:widowControl/>
                    <w:kinsoku/>
                    <w:wordWrap/>
                    <w:overflowPunct/>
                    <w:bidi w:val="0"/>
                    <w:spacing w:line="240" w:lineRule="auto"/>
                    <w:ind w:left="0" w:leftChars="0" w:right="0" w:rightChars="0" w:firstLine="0" w:firstLineChars="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0" w:type="dxa"/>
                  <w:tcBorders>
                    <w:tl2br w:val="nil"/>
                    <w:tr2bl w:val="nil"/>
                  </w:tcBorders>
                  <w:noWrap/>
                  <w:vAlign w:val="center"/>
                </w:tcPr>
                <w:p>
                  <w:pPr>
                    <w:pageBreakBefore w:val="0"/>
                    <w:widowControl/>
                    <w:kinsoku/>
                    <w:wordWrap/>
                    <w:overflowPunct/>
                    <w:bidi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总体要求</w:t>
                  </w:r>
                </w:p>
              </w:tc>
              <w:tc>
                <w:tcPr>
                  <w:tcW w:w="4000" w:type="dxa"/>
                  <w:tcBorders>
                    <w:tl2br w:val="nil"/>
                    <w:tr2bl w:val="nil"/>
                  </w:tcBorders>
                  <w:noWrap/>
                  <w:vAlign w:val="center"/>
                </w:tcPr>
                <w:p>
                  <w:pPr>
                    <w:keepNext w:val="0"/>
                    <w:keepLines w:val="0"/>
                    <w:pageBreakBefore w:val="0"/>
                    <w:widowControl/>
                    <w:suppressLineNumbers w:val="0"/>
                    <w:shd w:val="clear" w:color="auto" w:fill="auto"/>
                    <w:kinsoku/>
                    <w:wordWrap/>
                    <w:overflowPunct/>
                    <w:topLinePunct w:val="0"/>
                    <w:autoSpaceDE/>
                    <w:autoSpaceDN/>
                    <w:bidi w:val="0"/>
                    <w:adjustRightInd/>
                    <w:snapToGrid/>
                    <w:spacing w:before="0"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1、根据《内蒙古自治区进一步规范化工行业项目建设的若干规定》，现有园区扩大面积的，要与黄河中上游流域巴彦淖尔段及主要支流岸线至少保持1公里距离。</w:t>
                  </w:r>
                </w:p>
                <w:p>
                  <w:pPr>
                    <w:keepNext w:val="0"/>
                    <w:keepLines w:val="0"/>
                    <w:pageBreakBefore w:val="0"/>
                    <w:widowControl/>
                    <w:suppressLineNumbers w:val="0"/>
                    <w:shd w:val="clear" w:color="auto" w:fill="auto"/>
                    <w:kinsoku/>
                    <w:wordWrap/>
                    <w:overflowPunct/>
                    <w:topLinePunct w:val="0"/>
                    <w:autoSpaceDE/>
                    <w:autoSpaceDN/>
                    <w:bidi w:val="0"/>
                    <w:adjustRightInd/>
                    <w:snapToGrid/>
                    <w:spacing w:before="0"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新建、改建、扩建“两高”项目须符合生态环境保护法律法规和相关法定规划，满足重点污染物排放总量控制、碳排放达峰目标、生态环境准入清单、相关规划环评和相应行业建设项目环境准入条件、环评文件审批要求。新建、扩建石化、化工、焦化、有色金属冶炼、平板玻璃项目应布设在依法合规设立并经规划环评的产业园区。化工园区（集中区）外已认定为化工重点监控点的企业，在项目审批、建设和管理方面参照化工园区内企业执行。企业可按照化工项目建设管理有关规定，依法依规在厂区内或紧邻厂区新建、改扩建现有装备同类产品、产业链延链补链、循环经济利用、安全环保节能项目，但原则上不能新建上游产业。</w:t>
                  </w:r>
                </w:p>
                <w:p>
                  <w:pPr>
                    <w:keepNext w:val="0"/>
                    <w:keepLines w:val="0"/>
                    <w:pageBreakBefore w:val="0"/>
                    <w:widowControl/>
                    <w:suppressLineNumbers w:val="0"/>
                    <w:shd w:val="clear" w:color="auto" w:fill="auto"/>
                    <w:kinsoku/>
                    <w:wordWrap/>
                    <w:overflowPunct/>
                    <w:topLinePunct w:val="0"/>
                    <w:autoSpaceDE/>
                    <w:autoSpaceDN/>
                    <w:bidi w:val="0"/>
                    <w:adjustRightInd/>
                    <w:snapToGrid/>
                    <w:spacing w:before="0"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为改善区域环境质量，严格控制“两高”项目新增主要污染物排放，确保环境影响报告书及其批复文件要求的主要污染物排放量区域削减措施落实到位。建设项目应满足区域、流域控制单元环境质量改善目标管理要求。所在区域、流域控制单元环境质量未达到国家或者地方环境质量标准的，建设项目应提出有效的区域削减方案，主要污染物实行区域倍量削减，确保项目投产后区域环境质量有改善。所在区域、流域控制单元环境质量达到国家或者地方环境质量标准的，原则上建设项目主要污染物实行区域等量削减，确保项目投产后区域环境质量不恶化。</w:t>
                  </w:r>
                </w:p>
                <w:p>
                  <w:pPr>
                    <w:keepNext w:val="0"/>
                    <w:keepLines w:val="0"/>
                    <w:pageBreakBefore w:val="0"/>
                    <w:widowControl/>
                    <w:suppressLineNumbers w:val="0"/>
                    <w:shd w:val="clear" w:color="auto" w:fill="auto"/>
                    <w:kinsoku/>
                    <w:wordWrap/>
                    <w:overflowPunct/>
                    <w:topLinePunct w:val="0"/>
                    <w:autoSpaceDE/>
                    <w:autoSpaceDN/>
                    <w:bidi w:val="0"/>
                    <w:adjustRightInd/>
                    <w:snapToGrid/>
                    <w:spacing w:before="0"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4、各类园区及建设项目选址应当符合当地国土空间规划。</w:t>
                  </w:r>
                </w:p>
                <w:p>
                  <w:pPr>
                    <w:keepNext w:val="0"/>
                    <w:keepLines w:val="0"/>
                    <w:pageBreakBefore w:val="0"/>
                    <w:widowControl/>
                    <w:suppressLineNumbers w:val="0"/>
                    <w:shd w:val="clear" w:color="auto" w:fill="auto"/>
                    <w:kinsoku/>
                    <w:wordWrap/>
                    <w:overflowPunct/>
                    <w:topLinePunct w:val="0"/>
                    <w:autoSpaceDE/>
                    <w:autoSpaceDN/>
                    <w:bidi w:val="0"/>
                    <w:adjustRightInd/>
                    <w:snapToGrid/>
                    <w:spacing w:before="0"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畜禽养殖禁养区内不得新建、扩建和改建各类畜禽养殖场，限养区内严格限制新建和扩建各类规模化畜禽养殖场。适养区内现有的各类畜禽养殖场必须落实污染防治措施，对污水、废渣和恶臭应进行定期监测，确保排放的污染物达到《畜禽养殖业污染物排放标准》（GB18596）的限值要求，并符合污染物排放总量控制要求。禁养区范围内的已建成的畜禽养殖场（小区）和养殖专业户，由所在地人民政府负责责令限期搬迁、关闭或取缔。</w:t>
                  </w:r>
                </w:p>
                <w:p>
                  <w:pPr>
                    <w:keepNext w:val="0"/>
                    <w:keepLines w:val="0"/>
                    <w:pageBreakBefore w:val="0"/>
                    <w:widowControl/>
                    <w:suppressLineNumbers w:val="0"/>
                    <w:shd w:val="clear" w:color="auto" w:fill="auto"/>
                    <w:kinsoku/>
                    <w:wordWrap/>
                    <w:overflowPunct/>
                    <w:topLinePunct w:val="0"/>
                    <w:autoSpaceDE/>
                    <w:autoSpaceDN/>
                    <w:bidi w:val="0"/>
                    <w:adjustRightInd/>
                    <w:snapToGrid/>
                    <w:spacing w:before="0"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6、建设对环境有影响的项目，建设单位应当根据国家关于建设项目环境保护分类管理的规定，按照对环境造成影响的程度，组织编制环境影响报告书、环境影响报告表或者填写环境影响登记表。严格落实排污许可管理要求，加强排污许可证实施监管，督促企业采取有效措施控制污染物排放，达到排污许可证规定的许可排放量要求。</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420" w:firstLineChars="20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7、入园项目需符合园区产业定位、布局、规划环评等；根据《内蒙古自治区“十四五”危险废物集中处置设施建设规划》，原则上限制新建、扩建危险废物焚烧、填埋、水泥窑协同等集中处置设施</w:t>
                  </w:r>
                  <w:r>
                    <w:rPr>
                      <w:rFonts w:hint="default" w:ascii="Times New Roman" w:hAnsi="Times New Roman" w:eastAsia="宋体" w:cs="Times New Roman"/>
                      <w:color w:val="auto"/>
                      <w:kern w:val="0"/>
                      <w:sz w:val="21"/>
                      <w:szCs w:val="21"/>
                      <w:highlight w:val="none"/>
                    </w:rPr>
                    <w:t>。</w:t>
                  </w:r>
                </w:p>
              </w:tc>
              <w:tc>
                <w:tcPr>
                  <w:tcW w:w="2055"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420" w:firstLineChars="20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w:t>
                  </w:r>
                  <w:r>
                    <w:rPr>
                      <w:rFonts w:hint="default" w:ascii="Times New Roman" w:hAnsi="Times New Roman" w:eastAsia="宋体" w:cs="Times New Roman"/>
                      <w:color w:val="auto"/>
                      <w:kern w:val="0"/>
                      <w:sz w:val="21"/>
                      <w:szCs w:val="21"/>
                      <w:highlight w:val="none"/>
                      <w:lang w:eastAsia="zh-CN"/>
                    </w:rPr>
                    <w:t>改建</w:t>
                  </w:r>
                  <w:r>
                    <w:rPr>
                      <w:rFonts w:hint="default" w:ascii="Times New Roman" w:hAnsi="Times New Roman" w:eastAsia="宋体" w:cs="Times New Roman"/>
                      <w:color w:val="auto"/>
                      <w:kern w:val="0"/>
                      <w:sz w:val="21"/>
                      <w:szCs w:val="21"/>
                      <w:highlight w:val="none"/>
                    </w:rPr>
                    <w:t>项目不涉及新化工园区的布局和现有园区面积的扩大。</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420" w:firstLineChars="20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w:t>
                  </w:r>
                  <w:r>
                    <w:rPr>
                      <w:rFonts w:hint="default" w:ascii="Times New Roman" w:hAnsi="Times New Roman" w:eastAsia="宋体" w:cs="Times New Roman"/>
                      <w:color w:val="auto"/>
                      <w:kern w:val="0"/>
                      <w:sz w:val="21"/>
                      <w:szCs w:val="21"/>
                      <w:highlight w:val="none"/>
                      <w:lang w:eastAsia="zh-CN"/>
                    </w:rPr>
                    <w:t>改建</w:t>
                  </w:r>
                  <w:r>
                    <w:rPr>
                      <w:rFonts w:hint="default" w:ascii="Times New Roman" w:hAnsi="Times New Roman" w:eastAsia="宋体" w:cs="Times New Roman"/>
                      <w:color w:val="auto"/>
                      <w:kern w:val="0"/>
                      <w:sz w:val="21"/>
                      <w:szCs w:val="21"/>
                      <w:highlight w:val="none"/>
                    </w:rPr>
                    <w:t>项目不属于“两高”项目；不属于石化、化工、焦化、有色金属冶炼、平板玻璃项目。</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420" w:firstLineChars="20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3、根据《巴彦淖尔市环境质量状况公报（202</w:t>
                  </w:r>
                  <w:r>
                    <w:rPr>
                      <w:rFonts w:hint="default" w:ascii="Times New Roman" w:hAnsi="Times New Roman" w:eastAsia="宋体" w:cs="Times New Roman"/>
                      <w:color w:val="auto"/>
                      <w:kern w:val="0"/>
                      <w:sz w:val="21"/>
                      <w:szCs w:val="21"/>
                      <w:highlight w:val="none"/>
                      <w:lang w:val="en-US" w:eastAsia="zh-CN"/>
                    </w:rPr>
                    <w:t>3</w:t>
                  </w:r>
                  <w:r>
                    <w:rPr>
                      <w:rFonts w:hint="default" w:ascii="Times New Roman" w:hAnsi="Times New Roman" w:eastAsia="宋体" w:cs="Times New Roman"/>
                      <w:color w:val="auto"/>
                      <w:kern w:val="0"/>
                      <w:sz w:val="21"/>
                      <w:szCs w:val="21"/>
                      <w:highlight w:val="none"/>
                    </w:rPr>
                    <w:t>年）》</w:t>
                  </w:r>
                  <w:r>
                    <w:rPr>
                      <w:rFonts w:hint="default" w:ascii="Times New Roman" w:hAnsi="Times New Roman" w:eastAsia="宋体" w:cs="Times New Roman"/>
                      <w:color w:val="auto"/>
                      <w:kern w:val="0"/>
                      <w:sz w:val="21"/>
                      <w:szCs w:val="21"/>
                      <w:highlight w:val="none"/>
                      <w:lang w:eastAsia="zh-CN"/>
                    </w:rPr>
                    <w:t>，改建</w:t>
                  </w:r>
                  <w:r>
                    <w:rPr>
                      <w:rFonts w:hint="default" w:ascii="Times New Roman" w:hAnsi="Times New Roman" w:eastAsia="宋体" w:cs="Times New Roman"/>
                      <w:color w:val="auto"/>
                      <w:kern w:val="0"/>
                      <w:sz w:val="21"/>
                      <w:szCs w:val="21"/>
                      <w:highlight w:val="none"/>
                    </w:rPr>
                    <w:t>项目所在地巴彦淖尔市乌拉特前旗为达标区；各污染物排放量较小</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并且在采取相应环保措施后</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各污染物均可达标排放</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不会造成区域环境质量恶化。</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420" w:firstLineChars="20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w:t>
                  </w:r>
                  <w:r>
                    <w:rPr>
                      <w:rFonts w:hint="default" w:ascii="Times New Roman" w:hAnsi="Times New Roman" w:eastAsia="宋体" w:cs="Times New Roman"/>
                      <w:color w:val="auto"/>
                      <w:kern w:val="0"/>
                      <w:sz w:val="21"/>
                      <w:szCs w:val="21"/>
                      <w:highlight w:val="none"/>
                      <w:lang w:eastAsia="zh-CN"/>
                    </w:rPr>
                    <w:t>改建</w:t>
                  </w:r>
                  <w:r>
                    <w:rPr>
                      <w:rFonts w:hint="default" w:ascii="Times New Roman" w:hAnsi="Times New Roman" w:eastAsia="宋体" w:cs="Times New Roman"/>
                      <w:color w:val="auto"/>
                      <w:kern w:val="0"/>
                      <w:sz w:val="21"/>
                      <w:szCs w:val="21"/>
                      <w:highlight w:val="none"/>
                    </w:rPr>
                    <w:t>项目位于</w:t>
                  </w:r>
                  <w:r>
                    <w:rPr>
                      <w:rFonts w:hint="eastAsia" w:cs="Times New Roman"/>
                      <w:color w:val="auto"/>
                      <w:sz w:val="21"/>
                      <w:szCs w:val="21"/>
                      <w:highlight w:val="none"/>
                      <w:lang w:eastAsia="zh-CN"/>
                    </w:rPr>
                    <w:t>内蒙古自治区巴彦淖尔市乌拉特前旗小佘太镇东五份子村，大中矿业股份有限公司现有锅炉房内</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不新增占地</w:t>
                  </w:r>
                  <w:r>
                    <w:rPr>
                      <w:rFonts w:hint="default" w:ascii="Times New Roman" w:hAnsi="Times New Roman" w:eastAsia="宋体" w:cs="Times New Roman"/>
                      <w:color w:val="auto"/>
                      <w:kern w:val="0"/>
                      <w:sz w:val="21"/>
                      <w:szCs w:val="21"/>
                      <w:highlight w:val="none"/>
                    </w:rPr>
                    <w:t>，符合</w:t>
                  </w:r>
                  <w:r>
                    <w:rPr>
                      <w:rFonts w:hint="default" w:ascii="Times New Roman" w:hAnsi="Times New Roman" w:eastAsia="宋体" w:cs="Times New Roman"/>
                      <w:color w:val="auto"/>
                      <w:kern w:val="0"/>
                      <w:sz w:val="21"/>
                      <w:szCs w:val="21"/>
                      <w:highlight w:val="none"/>
                      <w:lang w:eastAsia="zh-CN"/>
                    </w:rPr>
                    <w:t>乌拉特前旗</w:t>
                  </w:r>
                  <w:r>
                    <w:rPr>
                      <w:rFonts w:hint="default" w:ascii="Times New Roman" w:hAnsi="Times New Roman" w:eastAsia="宋体" w:cs="Times New Roman"/>
                      <w:color w:val="auto"/>
                      <w:kern w:val="0"/>
                      <w:sz w:val="21"/>
                      <w:szCs w:val="21"/>
                      <w:highlight w:val="none"/>
                    </w:rPr>
                    <w:t>用地规划。</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420" w:firstLineChars="20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w:t>
                  </w:r>
                  <w:r>
                    <w:rPr>
                      <w:rFonts w:hint="default" w:ascii="Times New Roman" w:hAnsi="Times New Roman" w:eastAsia="宋体" w:cs="Times New Roman"/>
                      <w:color w:val="auto"/>
                      <w:kern w:val="0"/>
                      <w:sz w:val="21"/>
                      <w:szCs w:val="21"/>
                      <w:highlight w:val="none"/>
                      <w:lang w:eastAsia="zh-CN"/>
                    </w:rPr>
                    <w:t>本项目</w:t>
                  </w:r>
                  <w:r>
                    <w:rPr>
                      <w:rFonts w:hint="default" w:ascii="Times New Roman" w:hAnsi="Times New Roman" w:eastAsia="宋体" w:cs="Times New Roman"/>
                      <w:color w:val="auto"/>
                      <w:kern w:val="0"/>
                      <w:sz w:val="21"/>
                      <w:szCs w:val="21"/>
                      <w:highlight w:val="none"/>
                    </w:rPr>
                    <w:t>不属于畜禽养殖业。</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420" w:firstLineChars="20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6、根据《建设项目环境影响评价分类管理名录（2021年版）》</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本项目应编制环境影响报告表</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根据预测</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本项目各污染物均可达标排放。</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420" w:firstLineChars="200"/>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7、本项目不属于重污染企业</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rPr>
                    <w:t>不涉及危险废物焚烧、填埋、水泥窑协同等集中处置设施</w:t>
                  </w:r>
                  <w:r>
                    <w:rPr>
                      <w:rFonts w:hint="default" w:ascii="Times New Roman" w:hAnsi="Times New Roman" w:eastAsia="宋体" w:cs="Times New Roman"/>
                      <w:color w:val="auto"/>
                      <w:kern w:val="0"/>
                      <w:sz w:val="21"/>
                      <w:szCs w:val="21"/>
                      <w:highlight w:val="none"/>
                    </w:rPr>
                    <w:t>。</w:t>
                  </w:r>
                </w:p>
              </w:tc>
              <w:tc>
                <w:tcPr>
                  <w:tcW w:w="622" w:type="dxa"/>
                  <w:tcBorders>
                    <w:tl2br w:val="nil"/>
                    <w:tr2bl w:val="nil"/>
                  </w:tcBorders>
                  <w:noWrap/>
                  <w:vAlign w:val="center"/>
                </w:tcPr>
                <w:p>
                  <w:pPr>
                    <w:pageBreakBefore w:val="0"/>
                    <w:widowControl/>
                    <w:kinsoku/>
                    <w:wordWrap/>
                    <w:overflowPunct/>
                    <w:bidi w:val="0"/>
                    <w:spacing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符合</w:t>
                  </w:r>
                </w:p>
              </w:tc>
            </w:tr>
          </w:tbl>
          <w:p>
            <w:pPr>
              <w:keepNext w:val="0"/>
              <w:keepLines w:val="0"/>
              <w:pageBreakBefore w:val="0"/>
              <w:widowControl w:val="0"/>
              <w:suppressLineNumbers w:val="0"/>
              <w:shd w:val="clear"/>
              <w:tabs>
                <w:tab w:val="left" w:pos="4252"/>
                <w:tab w:val="left" w:pos="6271"/>
              </w:tabs>
              <w:kinsoku/>
              <w:wordWrap/>
              <w:overflowPunct/>
              <w:topLinePunct w:val="0"/>
              <w:autoSpaceDE/>
              <w:autoSpaceDN/>
              <w:bidi w:val="0"/>
              <w:adjustRightInd/>
              <w:snapToGrid/>
              <w:spacing w:beforeAutospacing="0" w:afterAutospacing="0" w:line="36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1-2  小佘太镇采矿用地</w:t>
            </w:r>
            <w:r>
              <w:rPr>
                <w:rFonts w:hint="default" w:ascii="Times New Roman" w:hAnsi="Times New Roman" w:eastAsia="宋体" w:cs="Times New Roman"/>
                <w:b/>
                <w:bCs/>
                <w:color w:val="auto"/>
                <w:sz w:val="24"/>
                <w:szCs w:val="24"/>
                <w:highlight w:val="none"/>
              </w:rPr>
              <w:t>生态环境准入清单符合性分析表</w:t>
            </w:r>
          </w:p>
          <w:tbl>
            <w:tblPr>
              <w:tblStyle w:val="19"/>
              <w:tblW w:w="7313" w:type="dxa"/>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629"/>
              <w:gridCol w:w="640"/>
              <w:gridCol w:w="3362"/>
              <w:gridCol w:w="2043"/>
              <w:gridCol w:w="639"/>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29" w:type="dxa"/>
                  <w:tcBorders>
                    <w:tl2br w:val="nil"/>
                    <w:tr2bl w:val="nil"/>
                  </w:tcBorders>
                  <w:noWrap w:val="0"/>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环境管控单元名称</w:t>
                  </w:r>
                </w:p>
              </w:tc>
              <w:tc>
                <w:tcPr>
                  <w:tcW w:w="4002" w:type="dxa"/>
                  <w:gridSpan w:val="2"/>
                  <w:tcBorders>
                    <w:tl2br w:val="nil"/>
                    <w:tr2bl w:val="nil"/>
                  </w:tcBorders>
                  <w:noWrap w:val="0"/>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管控要求</w:t>
                  </w:r>
                </w:p>
              </w:tc>
              <w:tc>
                <w:tcPr>
                  <w:tcW w:w="2043" w:type="dxa"/>
                  <w:tcBorders>
                    <w:tl2br w:val="nil"/>
                    <w:tr2bl w:val="nil"/>
                  </w:tcBorders>
                  <w:noWrap w:val="0"/>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eastAsia="zh-CN"/>
                    </w:rPr>
                    <w:t>改建项目</w:t>
                  </w:r>
                  <w:r>
                    <w:rPr>
                      <w:rFonts w:hint="default" w:ascii="Times New Roman" w:hAnsi="Times New Roman" w:eastAsia="宋体" w:cs="Times New Roman"/>
                      <w:b/>
                      <w:bCs/>
                      <w:color w:val="auto"/>
                      <w:sz w:val="21"/>
                      <w:szCs w:val="21"/>
                      <w:highlight w:val="none"/>
                    </w:rPr>
                    <w:t>落实情况</w:t>
                  </w:r>
                </w:p>
              </w:tc>
              <w:tc>
                <w:tcPr>
                  <w:tcW w:w="639" w:type="dxa"/>
                  <w:tcBorders>
                    <w:tl2br w:val="nil"/>
                    <w:tr2bl w:val="nil"/>
                  </w:tcBorders>
                  <w:noWrap w:val="0"/>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符合性</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29" w:type="dxa"/>
                  <w:vMerge w:val="restart"/>
                  <w:tcBorders>
                    <w:tl2br w:val="nil"/>
                    <w:tr2bl w:val="nil"/>
                  </w:tcBorders>
                  <w:noWrap w:val="0"/>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小佘太</w:t>
                  </w:r>
                  <w:r>
                    <w:rPr>
                      <w:rFonts w:hint="default" w:ascii="Times New Roman" w:hAnsi="Times New Roman" w:eastAsia="宋体" w:cs="Times New Roman"/>
                      <w:color w:val="auto"/>
                      <w:kern w:val="0"/>
                      <w:sz w:val="21"/>
                      <w:szCs w:val="21"/>
                      <w:highlight w:val="none"/>
                      <w:lang w:val="en-US" w:eastAsia="zh-CN"/>
                    </w:rPr>
                    <w:t>镇</w:t>
                  </w:r>
                  <w:r>
                    <w:rPr>
                      <w:rFonts w:hint="default" w:ascii="Times New Roman" w:hAnsi="Times New Roman" w:eastAsia="宋体" w:cs="Times New Roman"/>
                      <w:color w:val="auto"/>
                      <w:sz w:val="21"/>
                      <w:szCs w:val="21"/>
                      <w:highlight w:val="none"/>
                      <w:lang w:val="en-US" w:eastAsia="zh-CN"/>
                    </w:rPr>
                    <w:t>采矿用地（单元编码：ZH15082320015）</w:t>
                  </w:r>
                </w:p>
              </w:tc>
              <w:tc>
                <w:tcPr>
                  <w:tcW w:w="640" w:type="dxa"/>
                  <w:tcBorders>
                    <w:tl2br w:val="nil"/>
                    <w:tr2bl w:val="nil"/>
                  </w:tcBorders>
                  <w:noWrap w:val="0"/>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空间布局约束</w:t>
                  </w:r>
                </w:p>
              </w:tc>
              <w:tc>
                <w:tcPr>
                  <w:tcW w:w="336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1、非经国务院授权的有关主管部门同意，不得在以下地区开采矿产资源：</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（1）港口、机场、国防工程建设设施圈定地区以内；</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（2）重要工业区、大型水利工程设施、城镇市政工程设施附近一定距离以内；</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（3）铁路、重要公路两侧一定距离以内；</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（4）重要河流、堤坝两侧一定距离以内；</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（5）国家划定的自然保护区、重要风景名胜区，国家重点保护的不能移动的历史文物和名胜古迹所在地；</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（6）国家规定不得开采矿产资源的其他地区。</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矿产资源开发布局应符合矿产资源总体规划要求。严格限制矿产资源开发项目，确需开采的矿产资源及必须就地开展矿产加工的新建、改建、扩建项目，应严格控制区域开发规模。实行绿色矿山名录管理制度，新建矿山全部达到绿色矿山要求，到2025年，已建矿山要达到绿色矿山建设标准，不符合绿色矿山建设标准要求的生产矿山要限期退出。</w:t>
                  </w:r>
                </w:p>
              </w:tc>
              <w:tc>
                <w:tcPr>
                  <w:tcW w:w="204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1、本次锅炉房改建项目属于大中矿业公辅工程，所属大中矿业东五份子矿区已取得相关部门颁发的采矿许可证，符合小佘太镇采矿用地管控单元要求。</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改建项目主要为大中矿业配套设施锅炉的改造，不涉及大中矿业矿山内容。</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SA"/>
                    </w:rPr>
                    <w:t>2、</w:t>
                  </w:r>
                  <w:r>
                    <w:rPr>
                      <w:rFonts w:hint="default" w:ascii="Times New Roman" w:hAnsi="Times New Roman" w:eastAsia="宋体" w:cs="Times New Roman"/>
                      <w:color w:val="auto"/>
                      <w:kern w:val="0"/>
                      <w:sz w:val="21"/>
                      <w:szCs w:val="21"/>
                      <w:highlight w:val="none"/>
                      <w:lang w:val="en-US" w:eastAsia="zh-CN"/>
                    </w:rPr>
                    <w:t>大中矿业配套建设了选矿厂，即采即选，已按照相关要求，使矿山的建设达到绿色矿山要求，符合小佘太镇采矿用地管控单元要求。</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lang w:val="en-US" w:eastAsia="zh-CN"/>
                    </w:rPr>
                    <w:t>改建项目主要为大中矿业配套设施锅炉的改造，不涉及大中矿业矿山内容。</w:t>
                  </w:r>
                </w:p>
              </w:tc>
              <w:tc>
                <w:tcPr>
                  <w:tcW w:w="639" w:type="dxa"/>
                  <w:tcBorders>
                    <w:tl2br w:val="nil"/>
                    <w:tr2bl w:val="nil"/>
                  </w:tcBorders>
                  <w:noWrap w:val="0"/>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29" w:type="dxa"/>
                  <w:vMerge w:val="continue"/>
                  <w:tcBorders>
                    <w:tl2br w:val="nil"/>
                    <w:tr2bl w:val="nil"/>
                  </w:tcBorders>
                  <w:noWrap w:val="0"/>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640" w:type="dxa"/>
                  <w:tcBorders>
                    <w:tl2br w:val="nil"/>
                    <w:tr2bl w:val="nil"/>
                  </w:tcBorders>
                  <w:noWrap w:val="0"/>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污染物排放管控</w:t>
                  </w:r>
                </w:p>
              </w:tc>
              <w:tc>
                <w:tcPr>
                  <w:tcW w:w="336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矿产资源勘查以及采选过程中排土场、露天采场、尾矿库、矿区专用道路、矿山工业场地、沉陷区、矸石场、矿山污染场地等的生态环境保护与治理恢复工作须满足《矿山生态环境保护与治理恢复技术规范（试行）》（HJ651-2013）要求。</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2、落实边开采、边治理要求，要求新建、在建矿山损毁土地严格按照《矿山地质环境保护与土地复垦方案》做到应治尽治。</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3、禁止采用污染和破坏矿山环境的方法开采矿产资源。矿山“三废”得到有效处理，污染物排放达标。矿山服务到期闭坑前，要按方案要求对矿区内破坏单元进行相应治理，加强矿山环境监测。</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4、新建排放重金属污染物的重点行业建设项目全面执行重点重金属污染物特别排放限值。</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全市重点行业重点重金属污染物实行排放总量控制制度，新建、改建、扩建涉重金属重点行业建设项目必须遵循重点重金属污染物排放“减量置换”或“等量替换”的原则，严格把重金属污染物排放总量指标作为排放重金属污染物建设项目环境影响评价审批的前置条件，无明确具体总量来源的，不得批准相关环境影响评价文件。</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6、重点重金属污染物包括铅、汞、镉、铬和类金属砷。</w:t>
                  </w:r>
                </w:p>
              </w:tc>
              <w:tc>
                <w:tcPr>
                  <w:tcW w:w="204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大中矿业建设的排土场、采场、尾矿库和矿区专用道路的生态环境保护与治理工作可以满足《矿山生态环境保护与治理恢复技术规范（试行）》（HJ651-2013）要求；符合小佘太镇采矿用地管控单元要求。改建项目主要为大中矿业配套设施锅炉的改造，不涉及大中矿业矿山内容。</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2、大中矿业已落实边开采、边治理的要求；符合小佘太镇采矿用地管控单元要求。改建项目主要为大中矿业配套设施锅炉的改造，不涉及大中矿业矿山内容。</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lang w:val="en-US" w:eastAsia="zh-CN"/>
                    </w:rPr>
                    <w:t>3、大中矿业建设项目不涉及重点金属污染物的排放，符合小佘太镇采矿用地管控单元要求。改建项目主要为大中矿业配套设施锅炉的改造，不涉及大中矿业矿山内容。</w:t>
                  </w:r>
                </w:p>
              </w:tc>
              <w:tc>
                <w:tcPr>
                  <w:tcW w:w="639" w:type="dxa"/>
                  <w:tcBorders>
                    <w:tl2br w:val="nil"/>
                    <w:tr2bl w:val="nil"/>
                  </w:tcBorders>
                  <w:noWrap w:val="0"/>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29" w:type="dxa"/>
                  <w:vMerge w:val="continue"/>
                  <w:tcBorders>
                    <w:tl2br w:val="nil"/>
                    <w:tr2bl w:val="nil"/>
                  </w:tcBorders>
                  <w:noWrap w:val="0"/>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640" w:type="dxa"/>
                  <w:tcBorders>
                    <w:tl2br w:val="nil"/>
                    <w:tr2bl w:val="nil"/>
                  </w:tcBorders>
                  <w:noWrap w:val="0"/>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环境风险防控</w:t>
                  </w:r>
                </w:p>
              </w:tc>
              <w:tc>
                <w:tcPr>
                  <w:tcW w:w="3362"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1、制定环境风险应急预案，成立应急组织机构，配备必要的应急设施和应急物资，定期开展环境风险应急演练。</w:t>
                  </w:r>
                </w:p>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全面整治历史遗留尾矿库，完善覆膜、压土、排洪、堤坝加固等隐患治理和闭库措施。有重点监管尾矿库的企业要开展环境风险评估，完善污染治理设施，储备应急物资。加强对矿产资源开发利用活动的辐射安全监管，有关企业每年要对本矿区土壤进行辐射环境监测。</w:t>
                  </w:r>
                </w:p>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禁止在行洪的河床、滩地和岸坡堆放贮存矿石、废渣或者尾矿，防止造成行洪不畅或者堤岸破坏。边坡的开挖和矿石、废渣的堆放，应当符合边坡稳定的要求。禁止开采或者毁坏预留安全矿柱或者岩柱，防止造成滑坡、崩塌、泥石流以及地面开裂、塌陷、沉降等地质灾害。</w:t>
                  </w:r>
                </w:p>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p>
              </w:tc>
              <w:tc>
                <w:tcPr>
                  <w:tcW w:w="204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lang w:val="en-US" w:eastAsia="zh-CN"/>
                    </w:rPr>
                    <w:t>大中矿业已按照相关规定编制了环境风险应急预案，成立应急组织机构，配备了必要的应急设施和应急物资，定期开展环境风险应急演练。符合小佘太镇采矿用地管控单元要求。改建项目主要为大中矿业配套设施锅炉的改造，不涉及大中矿业矿山内容。</w:t>
                  </w:r>
                </w:p>
              </w:tc>
              <w:tc>
                <w:tcPr>
                  <w:tcW w:w="639" w:type="dxa"/>
                  <w:tcBorders>
                    <w:tl2br w:val="nil"/>
                    <w:tr2bl w:val="nil"/>
                  </w:tcBorders>
                  <w:noWrap w:val="0"/>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29" w:type="dxa"/>
                  <w:vMerge w:val="continue"/>
                  <w:tcBorders>
                    <w:tl2br w:val="nil"/>
                    <w:tr2bl w:val="nil"/>
                  </w:tcBorders>
                  <w:noWrap w:val="0"/>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640" w:type="dxa"/>
                  <w:tcBorders>
                    <w:tl2br w:val="nil"/>
                    <w:tr2bl w:val="nil"/>
                  </w:tcBorders>
                  <w:noWrap w:val="0"/>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资源</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利用</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效率</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要求</w:t>
                  </w:r>
                </w:p>
              </w:tc>
              <w:tc>
                <w:tcPr>
                  <w:tcW w:w="336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1、矿山“三率”水平达到国内同行业先进水平，矿山“三率”水平达标率达85%以上，尾矿排放重金属残留水平进一步降低。</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2、禁止新建对生态环境产生不可恢复利用的、产生破坏性影响的矿产资源开发项目。</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3、严控地下水超采。禁止私自开采地下水。新建、改建、扩建的高耗水工业项目，禁止擅自使用地下水。食品、制药等项目取用地下水，须经有管理权限的水行政主管部门批准。</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4、提高工业企业用水用能效率。</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5、矿山企业要严格落实矿产资源开发利用方案、环境影响评价文件，水土保持方案、矿山地质环境保护与土地复垦方案等要求，提高资源利用效率水平。</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6、新建有色金属、非金属矿采选业项目生产工艺应达到国内先进水平，清洁生产水平应达到《清洁生产审核办法》规定范围之内，水耗控制在《内蒙古自治区地方标准行业用水定额》（DB15/T385-2020）规定范围之内，现有企业3年内生产工艺应进行改造升级，清洁生产必须按照《清洁生产审核办法》进行审核，水耗控制在《内蒙古自治区地方标准行业用水定额》（DB15/T385-2020）规定范围之内。</w:t>
                  </w:r>
                </w:p>
              </w:tc>
              <w:tc>
                <w:tcPr>
                  <w:tcW w:w="204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大中矿业在2020年1月，被评为国家级绿色矿山，“三率”水平达标率达85%以上。尾矿排放重金属残留水平进一步降低，符合小佘太镇采矿用地管控单元要求。改建项目主要为大中矿业配套设施锅炉的改造，不涉及大中矿业矿山内容。</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2、改建项目不新增占地，</w:t>
                  </w:r>
                  <w:r>
                    <w:rPr>
                      <w:rFonts w:hint="default" w:ascii="Times New Roman" w:hAnsi="Times New Roman" w:eastAsia="宋体" w:cs="Times New Roman"/>
                      <w:color w:val="auto"/>
                      <w:sz w:val="21"/>
                      <w:szCs w:val="21"/>
                      <w:highlight w:val="none"/>
                      <w:lang w:val="en-US" w:eastAsia="zh-CN"/>
                    </w:rPr>
                    <w:t>不会</w:t>
                  </w:r>
                  <w:r>
                    <w:rPr>
                      <w:rFonts w:hint="default" w:ascii="Times New Roman" w:hAnsi="Times New Roman" w:eastAsia="宋体" w:cs="Times New Roman"/>
                      <w:color w:val="auto"/>
                      <w:sz w:val="21"/>
                      <w:szCs w:val="21"/>
                      <w:highlight w:val="none"/>
                      <w:lang w:eastAsia="zh-CN"/>
                    </w:rPr>
                    <w:t>对生态</w:t>
                  </w:r>
                  <w:r>
                    <w:rPr>
                      <w:rFonts w:hint="default" w:ascii="Times New Roman" w:hAnsi="Times New Roman" w:eastAsia="宋体" w:cs="Times New Roman"/>
                      <w:color w:val="auto"/>
                      <w:sz w:val="21"/>
                      <w:szCs w:val="21"/>
                      <w:highlight w:val="none"/>
                    </w:rPr>
                    <w:t>产生不可恢复利用的、破坏性影响</w:t>
                  </w:r>
                  <w:r>
                    <w:rPr>
                      <w:rFonts w:hint="default" w:ascii="Times New Roman" w:hAnsi="Times New Roman" w:eastAsia="宋体" w:cs="Times New Roman"/>
                      <w:color w:val="auto"/>
                      <w:sz w:val="21"/>
                      <w:szCs w:val="21"/>
                      <w:highlight w:val="none"/>
                      <w:lang w:eastAsia="zh-CN"/>
                    </w:rPr>
                    <w:t>。</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3、改建项目不采地下水，锅炉用水由矿井涌水供给。</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both"/>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4、改建项目用水由矿井涌水供给，提高了工业企业用水用能效率。</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5、大中矿业</w:t>
                  </w:r>
                  <w:r>
                    <w:rPr>
                      <w:rFonts w:hint="default" w:ascii="Times New Roman" w:hAnsi="Times New Roman" w:eastAsia="宋体" w:cs="Times New Roman"/>
                      <w:color w:val="auto"/>
                      <w:sz w:val="21"/>
                      <w:szCs w:val="21"/>
                      <w:highlight w:val="none"/>
                      <w:lang w:eastAsia="zh-CN"/>
                    </w:rPr>
                    <w:t>已严格落实各方案，</w:t>
                  </w:r>
                  <w:r>
                    <w:rPr>
                      <w:rFonts w:hint="default" w:ascii="Times New Roman" w:hAnsi="Times New Roman" w:eastAsia="宋体" w:cs="Times New Roman"/>
                      <w:color w:val="auto"/>
                      <w:kern w:val="0"/>
                      <w:sz w:val="21"/>
                      <w:szCs w:val="21"/>
                      <w:highlight w:val="none"/>
                      <w:lang w:val="en-US" w:eastAsia="zh-CN"/>
                    </w:rPr>
                    <w:t>符合小佘太镇采矿用地管控单元要求。改建项目主要为大中矿业配套设施锅炉的改造，不涉及大中矿业矿山内容。</w:t>
                  </w:r>
                </w:p>
                <w:p>
                  <w:pPr>
                    <w:keepNext w:val="0"/>
                    <w:keepLines w:val="0"/>
                    <w:pageBreakBefore w:val="0"/>
                    <w:widowControl/>
                    <w:suppressLineNumbers w:val="0"/>
                    <w:kinsoku/>
                    <w:wordWrap/>
                    <w:overflowPunct/>
                    <w:topLinePunct w:val="0"/>
                    <w:autoSpaceDE/>
                    <w:autoSpaceDN/>
                    <w:bidi w:val="0"/>
                    <w:adjustRightInd/>
                    <w:snapToGrid/>
                    <w:spacing w:beforeAutospacing="0" w:afterAutospacing="0"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lang w:eastAsia="zh-CN"/>
                    </w:rPr>
                    <w:t>2020年1月，被评为国家级绿色矿山。</w:t>
                  </w:r>
                  <w:r>
                    <w:rPr>
                      <w:rFonts w:hint="default" w:ascii="Times New Roman" w:hAnsi="Times New Roman" w:eastAsia="宋体" w:cs="Times New Roman"/>
                      <w:color w:val="auto"/>
                      <w:sz w:val="21"/>
                      <w:szCs w:val="21"/>
                      <w:highlight w:val="none"/>
                      <w:lang w:val="en-US" w:eastAsia="zh-CN"/>
                    </w:rPr>
                    <w:t>改建</w:t>
                  </w:r>
                  <w:r>
                    <w:rPr>
                      <w:rFonts w:hint="default" w:ascii="Times New Roman" w:hAnsi="Times New Roman" w:eastAsia="宋体" w:cs="Times New Roman"/>
                      <w:color w:val="auto"/>
                      <w:kern w:val="0"/>
                      <w:sz w:val="21"/>
                      <w:szCs w:val="21"/>
                      <w:highlight w:val="none"/>
                      <w:lang w:val="en-US" w:eastAsia="zh-CN"/>
                    </w:rPr>
                    <w:t>项目主要为大中矿业配套设施锅炉的改造，不涉及大中矿业</w:t>
                  </w:r>
                  <w:r>
                    <w:rPr>
                      <w:rFonts w:hint="eastAsia" w:cs="Times New Roman"/>
                      <w:color w:val="auto"/>
                      <w:kern w:val="0"/>
                      <w:sz w:val="21"/>
                      <w:szCs w:val="21"/>
                      <w:highlight w:val="none"/>
                      <w:lang w:val="en-US" w:eastAsia="zh-CN"/>
                    </w:rPr>
                    <w:t>采选业</w:t>
                  </w:r>
                  <w:r>
                    <w:rPr>
                      <w:rFonts w:hint="default" w:ascii="Times New Roman" w:hAnsi="Times New Roman" w:eastAsia="宋体" w:cs="Times New Roman"/>
                      <w:color w:val="auto"/>
                      <w:kern w:val="0"/>
                      <w:sz w:val="21"/>
                      <w:szCs w:val="21"/>
                      <w:highlight w:val="none"/>
                      <w:lang w:val="en-US" w:eastAsia="zh-CN"/>
                    </w:rPr>
                    <w:t>内容。</w:t>
                  </w:r>
                </w:p>
              </w:tc>
              <w:tc>
                <w:tcPr>
                  <w:tcW w:w="639" w:type="dxa"/>
                  <w:tcBorders>
                    <w:tl2br w:val="nil"/>
                    <w:tr2bl w:val="nil"/>
                  </w:tcBorders>
                  <w:noWrap w:val="0"/>
                  <w:vAlign w:val="center"/>
                </w:tcPr>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bl>
          <w:p>
            <w:pPr>
              <w:keepNext w:val="0"/>
              <w:keepLines w:val="0"/>
              <w:pageBreakBefore w:val="0"/>
              <w:widowControl w:val="0"/>
              <w:suppressLineNumbers w:val="0"/>
              <w:shd w:val="clear"/>
              <w:tabs>
                <w:tab w:val="center" w:pos="4153"/>
                <w:tab w:val="right" w:pos="8306"/>
              </w:tabs>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根据《巴彦淖尔市人民政府办公室关于巴彦淖尔市2023年生态环境分区管控成果动态更新的通知》（巴政办字</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2023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106号），巴彦淖尔市全市共划定环境管控单元256个，包括优先保护单元、重点管控单元、一般管控单元三类，实施分类管控。</w:t>
            </w:r>
          </w:p>
          <w:p>
            <w:pPr>
              <w:keepNext w:val="0"/>
              <w:keepLines w:val="0"/>
              <w:pageBreakBefore w:val="0"/>
              <w:widowControl w:val="0"/>
              <w:suppressLineNumbers w:val="0"/>
              <w:shd w:val="clear"/>
              <w:tabs>
                <w:tab w:val="center" w:pos="4153"/>
                <w:tab w:val="right" w:pos="8306"/>
              </w:tabs>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改建项目</w:t>
            </w:r>
            <w:r>
              <w:rPr>
                <w:rFonts w:hint="default" w:ascii="Times New Roman" w:hAnsi="Times New Roman" w:eastAsia="宋体" w:cs="Times New Roman"/>
                <w:color w:val="auto"/>
                <w:sz w:val="24"/>
                <w:szCs w:val="24"/>
                <w:highlight w:val="none"/>
              </w:rPr>
              <w:t>属于</w:t>
            </w:r>
            <w:r>
              <w:rPr>
                <w:rFonts w:hint="default" w:ascii="Times New Roman" w:hAnsi="Times New Roman" w:eastAsia="宋体" w:cs="Times New Roman"/>
                <w:color w:val="auto"/>
                <w:sz w:val="24"/>
                <w:szCs w:val="24"/>
                <w:highlight w:val="none"/>
                <w:lang w:eastAsia="zh-CN"/>
              </w:rPr>
              <w:t>小佘太镇采矿用地</w:t>
            </w:r>
            <w:r>
              <w:rPr>
                <w:rFonts w:hint="default" w:ascii="Times New Roman" w:hAnsi="Times New Roman" w:eastAsia="宋体" w:cs="Times New Roman"/>
                <w:color w:val="auto"/>
                <w:sz w:val="24"/>
                <w:szCs w:val="24"/>
                <w:highlight w:val="none"/>
                <w:lang w:val="en-US" w:eastAsia="zh-CN"/>
              </w:rPr>
              <w:t>管控单元</w:t>
            </w:r>
            <w:r>
              <w:rPr>
                <w:rFonts w:hint="default" w:ascii="Times New Roman" w:hAnsi="Times New Roman" w:eastAsia="宋体" w:cs="Times New Roman"/>
                <w:color w:val="auto"/>
                <w:sz w:val="24"/>
                <w:szCs w:val="24"/>
                <w:highlight w:val="none"/>
              </w:rPr>
              <w:t>，管控单元类别为</w:t>
            </w:r>
            <w:r>
              <w:rPr>
                <w:rFonts w:hint="default" w:ascii="Times New Roman" w:hAnsi="Times New Roman" w:eastAsia="宋体" w:cs="Times New Roman"/>
                <w:color w:val="auto"/>
                <w:sz w:val="24"/>
                <w:szCs w:val="24"/>
                <w:highlight w:val="none"/>
                <w:lang w:eastAsia="zh-CN"/>
              </w:rPr>
              <w:t>重点管控单元</w:t>
            </w:r>
            <w:r>
              <w:rPr>
                <w:rFonts w:hint="default" w:ascii="Times New Roman" w:hAnsi="Times New Roman" w:eastAsia="宋体" w:cs="Times New Roman"/>
                <w:color w:val="auto"/>
                <w:sz w:val="24"/>
                <w:szCs w:val="24"/>
                <w:highlight w:val="none"/>
              </w:rPr>
              <w:t>，环境管控单元编码</w:t>
            </w:r>
            <w:r>
              <w:rPr>
                <w:rFonts w:hint="default" w:ascii="Times New Roman" w:hAnsi="Times New Roman" w:eastAsia="宋体" w:cs="Times New Roman"/>
                <w:color w:val="auto"/>
                <w:sz w:val="24"/>
                <w:szCs w:val="24"/>
                <w:highlight w:val="none"/>
                <w:lang w:val="en-US" w:eastAsia="zh-CN"/>
              </w:rPr>
              <w:t>为ZH15082320015</w:t>
            </w:r>
            <w:r>
              <w:rPr>
                <w:rFonts w:hint="default" w:ascii="Times New Roman" w:hAnsi="Times New Roman" w:eastAsia="宋体" w:cs="Times New Roman"/>
                <w:color w:val="auto"/>
                <w:sz w:val="24"/>
                <w:szCs w:val="24"/>
                <w:highlight w:val="none"/>
              </w:rPr>
              <w:t>，从空间布局约束、污染物排放管控、环境风险防控、资源利用效率要求等方面分析，</w:t>
            </w:r>
            <w:r>
              <w:rPr>
                <w:rFonts w:hint="default" w:ascii="Times New Roman" w:hAnsi="Times New Roman" w:eastAsia="宋体" w:cs="Times New Roman"/>
                <w:color w:val="auto"/>
                <w:sz w:val="24"/>
                <w:szCs w:val="24"/>
                <w:highlight w:val="none"/>
                <w:lang w:eastAsia="zh-CN"/>
              </w:rPr>
              <w:t>改建项目配套设置</w:t>
            </w:r>
            <w:r>
              <w:rPr>
                <w:rFonts w:hint="default" w:ascii="Times New Roman" w:hAnsi="Times New Roman" w:eastAsia="宋体" w:cs="Times New Roman"/>
                <w:color w:val="auto"/>
                <w:sz w:val="24"/>
                <w:szCs w:val="24"/>
                <w:highlight w:val="none"/>
              </w:rPr>
              <w:t>环保措施，环境影响及环境风险可控。</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因此，</w:t>
            </w:r>
            <w:r>
              <w:rPr>
                <w:rFonts w:hint="default" w:ascii="Times New Roman" w:hAnsi="Times New Roman" w:eastAsia="宋体" w:cs="Times New Roman"/>
                <w:color w:val="auto"/>
                <w:sz w:val="24"/>
                <w:szCs w:val="24"/>
                <w:highlight w:val="none"/>
                <w:lang w:eastAsia="zh-CN"/>
              </w:rPr>
              <w:t>改建项目</w:t>
            </w:r>
            <w:r>
              <w:rPr>
                <w:rFonts w:hint="default" w:ascii="Times New Roman" w:hAnsi="Times New Roman" w:eastAsia="宋体" w:cs="Times New Roman"/>
                <w:color w:val="auto"/>
                <w:sz w:val="24"/>
                <w:szCs w:val="24"/>
                <w:highlight w:val="none"/>
              </w:rPr>
              <w:t>符合</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三线一单</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管控要求</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val="0"/>
              <w:suppressLineNumbers w:val="0"/>
              <w:shd w:val="clear"/>
              <w:kinsoku/>
              <w:wordWrap/>
              <w:overflowPunct/>
              <w:topLinePunct w:val="0"/>
              <w:autoSpaceDE/>
              <w:autoSpaceDN/>
              <w:bidi w:val="0"/>
              <w:adjustRightInd/>
              <w:snapToGrid/>
              <w:spacing w:beforeAutospacing="0" w:afterAutospacing="0" w:line="360" w:lineRule="auto"/>
              <w:ind w:left="0" w:leftChars="0" w:right="0" w:rightChars="0" w:firstLine="480" w:firstLineChars="200"/>
              <w:jc w:val="left"/>
              <w:textAlignment w:val="auto"/>
              <w:rPr>
                <w:rFonts w:hint="default" w:ascii="Times New Roman" w:hAnsi="Times New Roman" w:eastAsia="宋体" w:cs="Times New Roman"/>
                <w:color w:val="auto"/>
                <w:kern w:val="0"/>
                <w:sz w:val="24"/>
                <w:szCs w:val="24"/>
                <w:highlight w:val="none"/>
              </w:rPr>
            </w:pPr>
          </w:p>
        </w:tc>
      </w:tr>
    </w:tbl>
    <w:p>
      <w:pPr>
        <w:pStyle w:val="18"/>
        <w:kinsoku/>
        <w:wordWrap/>
        <w:bidi w:val="0"/>
        <w:spacing w:after="0" w:line="360" w:lineRule="auto"/>
        <w:ind w:left="0" w:leftChars="0" w:right="0" w:rightChars="0" w:firstLine="0" w:firstLineChars="0"/>
        <w:rPr>
          <w:rFonts w:hint="default" w:ascii="Times New Roman" w:hAnsi="Times New Roman" w:eastAsia="宋体" w:cs="Times New Roman"/>
          <w:color w:val="auto"/>
          <w:highlight w:val="none"/>
        </w:rPr>
        <w:sectPr>
          <w:footerReference r:id="rId5"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pPr>
        <w:pStyle w:val="6"/>
        <w:kinsoku/>
        <w:wordWrap/>
        <w:bidi w:val="0"/>
        <w:spacing w:line="360" w:lineRule="auto"/>
        <w:ind w:left="0" w:leftChars="0" w:right="0" w:righ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二、建设项目工程分析</w:t>
      </w:r>
    </w:p>
    <w:tbl>
      <w:tblPr>
        <w:tblStyle w:val="19"/>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17"/>
        <w:gridCol w:w="825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67" w:hRule="atLeast"/>
          <w:jc w:val="center"/>
        </w:trPr>
        <w:tc>
          <w:tcPr>
            <w:tcW w:w="807" w:type="dxa"/>
            <w:vAlign w:val="center"/>
          </w:tcPr>
          <w:p>
            <w:pPr>
              <w:pStyle w:val="17"/>
              <w:kinsoku/>
              <w:wordWrap/>
              <w:bidi w:val="0"/>
              <w:adjustRightInd w:val="0"/>
              <w:snapToGrid w:val="0"/>
              <w:spacing w:before="0" w:beforeAutospacing="0" w:after="0" w:afterAutospacing="0" w:line="36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Cs w:val="24"/>
                <w:highlight w:val="none"/>
              </w:rPr>
              <w:t>建设内容</w:t>
            </w:r>
          </w:p>
        </w:tc>
        <w:tc>
          <w:tcPr>
            <w:tcW w:w="8158" w:type="dxa"/>
          </w:tcPr>
          <w:p>
            <w:pPr>
              <w:keepNext w:val="0"/>
              <w:keepLines w:val="0"/>
              <w:pageBreakBefore w:val="0"/>
              <w:widowControl w:val="0"/>
              <w:kinsoku/>
              <w:wordWrap/>
              <w:overflowPunct/>
              <w:topLinePunct w:val="0"/>
              <w:bidi w:val="0"/>
              <w:adjustRightInd/>
              <w:snapToGrid/>
              <w:spacing w:line="360" w:lineRule="auto"/>
              <w:ind w:left="0" w:leftChars="0" w:right="0" w:rightChars="0" w:firstLine="482" w:firstLineChars="20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1、现有项目概况</w:t>
            </w:r>
          </w:p>
          <w:p>
            <w:pPr>
              <w:keepNext w:val="0"/>
              <w:keepLines w:val="0"/>
              <w:pageBreakBefore w:val="0"/>
              <w:widowControl w:val="0"/>
              <w:kinsoku/>
              <w:wordWrap/>
              <w:overflowPunct/>
              <w:topLinePunct w:val="0"/>
              <w:bidi w:val="0"/>
              <w:adjustRightInd/>
              <w:snapToGrid/>
              <w:spacing w:line="360" w:lineRule="auto"/>
              <w:ind w:left="0" w:leftChars="0" w:right="0" w:rightChars="0" w:firstLine="482" w:firstLineChars="20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1.1现有项目建设内容及建设规模</w:t>
            </w:r>
          </w:p>
          <w:p>
            <w:pPr>
              <w:keepNext w:val="0"/>
              <w:keepLines w:val="0"/>
              <w:pageBreakBefore w:val="0"/>
              <w:widowControl w:val="0"/>
              <w:kinsoku/>
              <w:wordWrap/>
              <w:overflowPunct/>
              <w:topLinePunct w:val="0"/>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（1）现有项目概况</w:t>
            </w:r>
          </w:p>
          <w:p>
            <w:pPr>
              <w:keepNext w:val="0"/>
              <w:keepLines w:val="0"/>
              <w:pageBreakBefore w:val="0"/>
              <w:widowControl w:val="0"/>
              <w:kinsoku/>
              <w:wordWrap/>
              <w:overflowPunct/>
              <w:topLinePunct w:val="0"/>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大中矿业股份有限公司</w:t>
            </w:r>
            <w:r>
              <w:rPr>
                <w:rFonts w:hint="default" w:ascii="Times New Roman" w:hAnsi="Times New Roman" w:eastAsia="宋体" w:cs="Times New Roman"/>
                <w:color w:val="auto"/>
                <w:highlight w:val="none"/>
                <w:lang w:val="en-US" w:eastAsia="zh-CN"/>
              </w:rPr>
              <w:t>位于内蒙古巴彦淖尔市乌拉特前旗小佘太镇东五份子村矿区，建设单位2006年12月委托巴彦淖尔市环境科学研究所编制了《</w:t>
            </w:r>
            <w:r>
              <w:rPr>
                <w:rFonts w:hint="eastAsia" w:cs="Times New Roman"/>
                <w:color w:val="auto"/>
                <w:highlight w:val="none"/>
                <w:lang w:val="en-US" w:eastAsia="zh-CN"/>
              </w:rPr>
              <w:t>大中矿业股份有限公司</w:t>
            </w:r>
            <w:r>
              <w:rPr>
                <w:rFonts w:hint="default" w:ascii="Times New Roman" w:hAnsi="Times New Roman" w:eastAsia="宋体" w:cs="Times New Roman"/>
                <w:color w:val="auto"/>
                <w:highlight w:val="none"/>
                <w:lang w:val="en-US" w:eastAsia="zh-CN"/>
              </w:rPr>
              <w:t>东五份子铁矿选矿厂工程环境影响报告书》，并于2007年1月30日取得了原巴彦淖尔市环境保护局出具的《关于对〈</w:t>
            </w:r>
            <w:r>
              <w:rPr>
                <w:rFonts w:hint="eastAsia" w:cs="Times New Roman"/>
                <w:color w:val="auto"/>
                <w:highlight w:val="none"/>
                <w:lang w:val="en-US" w:eastAsia="zh-CN"/>
              </w:rPr>
              <w:t>大中矿业股份有限公司</w:t>
            </w:r>
            <w:r>
              <w:rPr>
                <w:rFonts w:hint="default" w:ascii="Times New Roman" w:hAnsi="Times New Roman" w:eastAsia="宋体" w:cs="Times New Roman"/>
                <w:color w:val="auto"/>
                <w:highlight w:val="none"/>
                <w:lang w:val="en-US" w:eastAsia="zh-CN"/>
              </w:rPr>
              <w:t>东五份子铁矿选矿厂工程环境影响报告书〉的批复》（巴环审发〔2007〕58号）；2008年3月10日取得了原巴彦淖尔市环保局出具的验收意见（环验</w:t>
            </w:r>
            <w:r>
              <w:rPr>
                <w:rFonts w:hint="eastAsia" w:cs="Times New Roman"/>
                <w:color w:val="auto"/>
                <w:highlight w:val="none"/>
                <w:lang w:val="en-US" w:eastAsia="zh-CN"/>
              </w:rPr>
              <w:t>〔2008〕7号</w:t>
            </w:r>
            <w:r>
              <w:rPr>
                <w:rFonts w:hint="default" w:ascii="Times New Roman" w:hAnsi="Times New Roman" w:eastAsia="宋体" w:cs="Times New Roman"/>
                <w:color w:val="auto"/>
                <w:highlight w:val="none"/>
                <w:lang w:val="en-US" w:eastAsia="zh-CN"/>
              </w:rPr>
              <w:t>）。2011年4月委托巴彦淖尔市八思巴环境技术咨询有限公司编制了《</w:t>
            </w:r>
            <w:r>
              <w:rPr>
                <w:rFonts w:hint="eastAsia" w:cs="Times New Roman"/>
                <w:color w:val="auto"/>
                <w:highlight w:val="none"/>
                <w:lang w:val="en-US" w:eastAsia="zh-CN"/>
              </w:rPr>
              <w:t>大中矿业股份有限公司</w:t>
            </w:r>
            <w:r>
              <w:rPr>
                <w:rFonts w:hint="default" w:ascii="Times New Roman" w:hAnsi="Times New Roman" w:eastAsia="宋体" w:cs="Times New Roman"/>
                <w:color w:val="auto"/>
                <w:highlight w:val="none"/>
                <w:lang w:val="en-US" w:eastAsia="zh-CN"/>
              </w:rPr>
              <w:t>东五份子铁矿150万吨/年采矿扩建项目环境影响报告书》，并于2011年10月25日取得了原内蒙古自治区环境保护厅出具的《关于对</w:t>
            </w:r>
            <w:r>
              <w:rPr>
                <w:rFonts w:hint="eastAsia" w:cs="Times New Roman"/>
                <w:color w:val="auto"/>
                <w:highlight w:val="none"/>
                <w:lang w:val="en-US" w:eastAsia="zh-CN"/>
              </w:rPr>
              <w:t>大中矿业股份有限公司</w:t>
            </w:r>
            <w:r>
              <w:rPr>
                <w:rFonts w:hint="default" w:ascii="Times New Roman" w:hAnsi="Times New Roman" w:eastAsia="宋体" w:cs="Times New Roman"/>
                <w:color w:val="auto"/>
                <w:highlight w:val="none"/>
                <w:lang w:val="en-US" w:eastAsia="zh-CN"/>
              </w:rPr>
              <w:t>东五份子铁矿150万吨/年采矿扩建项目环境影响报告书的批复》（内环审〔2011〕333号）；2020年3月2日取得了巴彦淖尔市生态环境局出具的《关于</w:t>
            </w:r>
            <w:r>
              <w:rPr>
                <w:rFonts w:hint="eastAsia" w:cs="Times New Roman"/>
                <w:color w:val="auto"/>
                <w:highlight w:val="none"/>
                <w:lang w:val="en-US" w:eastAsia="zh-CN"/>
              </w:rPr>
              <w:t>大中矿业股份有限公司</w:t>
            </w:r>
            <w:r>
              <w:rPr>
                <w:rFonts w:hint="default" w:ascii="Times New Roman" w:hAnsi="Times New Roman" w:eastAsia="宋体" w:cs="Times New Roman"/>
                <w:color w:val="auto"/>
                <w:highlight w:val="none"/>
                <w:lang w:val="en-US" w:eastAsia="zh-CN"/>
              </w:rPr>
              <w:t>东五份子铁矿150万吨/年采矿扩建工程项目（固废）竣工环境保护验收意见》（巴环验〔2020〕2号）；2020年企业申领了登记管理排污许可证，排污许可证编号：91150800701444800H001V；企业已建立了环境风险体系及应急体系（备案编号：150823-2023-H26-L）。</w:t>
            </w:r>
          </w:p>
          <w:p>
            <w:pPr>
              <w:keepNext w:val="0"/>
              <w:keepLines w:val="0"/>
              <w:pageBreakBefore w:val="0"/>
              <w:widowControl w:val="0"/>
              <w:kinsoku/>
              <w:wordWrap/>
              <w:overflowPunct/>
              <w:topLinePunct w:val="0"/>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选厂内建有</w:t>
            </w:r>
            <w:r>
              <w:rPr>
                <w:rFonts w:hint="default" w:ascii="Times New Roman" w:hAnsi="Times New Roman" w:eastAsia="宋体" w:cs="Times New Roman"/>
                <w:color w:val="auto"/>
                <w:highlight w:val="none"/>
                <w:lang w:val="en-US" w:eastAsia="zh-CN"/>
              </w:rPr>
              <w:t>1座锅炉房，用于</w:t>
            </w:r>
            <w:r>
              <w:rPr>
                <w:rFonts w:hint="default" w:ascii="Times New Roman" w:hAnsi="Times New Roman" w:eastAsia="宋体" w:cs="Times New Roman"/>
                <w:color w:val="auto"/>
                <w:highlight w:val="none"/>
              </w:rPr>
              <w:t>矿区及办公生活区</w:t>
            </w:r>
            <w:r>
              <w:rPr>
                <w:rFonts w:hint="default" w:ascii="Times New Roman" w:hAnsi="Times New Roman" w:eastAsia="宋体" w:cs="Times New Roman"/>
                <w:color w:val="auto"/>
                <w:highlight w:val="none"/>
                <w:lang w:val="en-US" w:eastAsia="zh-CN"/>
              </w:rPr>
              <w:t>供暖。锅炉房占地面积为1100m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lang w:val="en-US" w:eastAsia="zh-CN"/>
              </w:rPr>
              <w:t>，内部设置了3</w:t>
            </w:r>
            <w:r>
              <w:rPr>
                <w:rFonts w:hint="default" w:ascii="Times New Roman" w:hAnsi="Times New Roman" w:eastAsia="宋体" w:cs="Times New Roman"/>
                <w:color w:val="auto"/>
                <w:highlight w:val="none"/>
              </w:rPr>
              <w:t>台</w:t>
            </w:r>
            <w:r>
              <w:rPr>
                <w:rFonts w:hint="default" w:ascii="Times New Roman" w:hAnsi="Times New Roman" w:eastAsia="宋体" w:cs="Times New Roman"/>
                <w:color w:val="auto"/>
                <w:highlight w:val="none"/>
                <w:lang w:val="en-US" w:eastAsia="zh-CN"/>
              </w:rPr>
              <w:t>4t/h的燃煤热水锅炉。</w:t>
            </w:r>
          </w:p>
          <w:p>
            <w:pPr>
              <w:keepNext w:val="0"/>
              <w:keepLines w:val="0"/>
              <w:pageBreakBefore w:val="0"/>
              <w:widowControl w:val="0"/>
              <w:kinsoku/>
              <w:wordWrap/>
              <w:overflowPunct/>
              <w:topLinePunct w:val="0"/>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（2）现有项目组成内容</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现有项目主要建设内容包括主体工程、公用工程、辅助工程、储运工程以及配套的环保工程。其项目组成情况见下表2-1。</w:t>
            </w:r>
          </w:p>
          <w:p>
            <w:pPr>
              <w:kinsoku/>
              <w:wordWrap/>
              <w:bidi w:val="0"/>
              <w:spacing w:line="360" w:lineRule="auto"/>
              <w:ind w:left="0" w:leftChars="0" w:right="0" w:rightChars="0" w:firstLine="0" w:firstLineChars="0"/>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表2-1  现有项目组成一览表</w:t>
            </w:r>
          </w:p>
          <w:tbl>
            <w:tblPr>
              <w:tblStyle w:val="20"/>
              <w:tblW w:w="81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9"/>
              <w:gridCol w:w="1119"/>
              <w:gridCol w:w="58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eastAsia="zh-Hans"/>
                    </w:rPr>
                  </w:pPr>
                  <w:r>
                    <w:rPr>
                      <w:rFonts w:hint="default" w:ascii="Times New Roman" w:hAnsi="Times New Roman" w:eastAsia="宋体" w:cs="Times New Roman"/>
                      <w:b/>
                      <w:bCs/>
                      <w:color w:val="auto"/>
                      <w:sz w:val="21"/>
                      <w:szCs w:val="21"/>
                      <w:highlight w:val="none"/>
                      <w:lang w:eastAsia="zh-Hans"/>
                    </w:rPr>
                    <w:t>类别</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名称</w:t>
                  </w:r>
                </w:p>
              </w:tc>
              <w:tc>
                <w:tcPr>
                  <w:tcW w:w="59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lang w:eastAsia="zh-Hans"/>
                    </w:rPr>
                  </w:pPr>
                  <w:r>
                    <w:rPr>
                      <w:rFonts w:hint="default" w:ascii="Times New Roman" w:hAnsi="Times New Roman" w:eastAsia="宋体" w:cs="Times New Roman"/>
                      <w:b/>
                      <w:bCs/>
                      <w:color w:val="auto"/>
                      <w:sz w:val="21"/>
                      <w:szCs w:val="21"/>
                      <w:highlight w:val="none"/>
                      <w:lang w:eastAsia="zh-Hans"/>
                    </w:rPr>
                    <w:t>建设内容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主体工程</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锅炉房</w:t>
                  </w:r>
                </w:p>
              </w:tc>
              <w:tc>
                <w:tcPr>
                  <w:tcW w:w="59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位于办公楼和宿舍的南侧，占地面积为1100m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，为矿区及办公生活区供暖。</w:t>
                  </w:r>
                </w:p>
                <w:p>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内部设置了3台4t/h的燃煤热水锅炉。</w:t>
                  </w:r>
                </w:p>
                <w:p>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地面采用混凝土硬化。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公用工程</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供电</w:t>
                  </w:r>
                </w:p>
              </w:tc>
              <w:tc>
                <w:tcPr>
                  <w:tcW w:w="59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用电由小佘太</w:t>
                  </w:r>
                  <w:r>
                    <w:rPr>
                      <w:rFonts w:hint="default" w:ascii="Times New Roman" w:hAnsi="Times New Roman" w:eastAsia="宋体" w:cs="Times New Roman"/>
                      <w:color w:val="auto"/>
                      <w:sz w:val="21"/>
                      <w:szCs w:val="21"/>
                      <w:highlight w:val="none"/>
                      <w:lang w:val="en-US" w:eastAsia="zh-CN"/>
                    </w:rPr>
                    <w:t>镇</w:t>
                  </w:r>
                  <w:r>
                    <w:rPr>
                      <w:rFonts w:hint="default" w:ascii="Times New Roman" w:hAnsi="Times New Roman" w:eastAsia="宋体" w:cs="Times New Roman"/>
                      <w:color w:val="auto"/>
                      <w:sz w:val="21"/>
                      <w:szCs w:val="21"/>
                      <w:highlight w:val="none"/>
                    </w:rPr>
                    <w:t>电网接入</w:t>
                  </w:r>
                  <w:r>
                    <w:rPr>
                      <w:rFonts w:hint="default" w:ascii="Times New Roman" w:hAnsi="Times New Roman" w:eastAsia="宋体" w:cs="Times New Roman"/>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供水</w:t>
                  </w:r>
                </w:p>
              </w:tc>
              <w:tc>
                <w:tcPr>
                  <w:tcW w:w="59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用水由</w:t>
                  </w:r>
                  <w:r>
                    <w:rPr>
                      <w:rFonts w:hint="default" w:ascii="Times New Roman" w:hAnsi="Times New Roman" w:eastAsia="宋体" w:cs="Times New Roman"/>
                      <w:color w:val="auto"/>
                      <w:sz w:val="21"/>
                      <w:szCs w:val="21"/>
                      <w:highlight w:val="none"/>
                      <w:lang w:val="en-US" w:eastAsia="zh-CN"/>
                    </w:rPr>
                    <w:t>小佘太镇增隆昌水库供给。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排水</w:t>
                  </w:r>
                </w:p>
              </w:tc>
              <w:tc>
                <w:tcPr>
                  <w:tcW w:w="59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软水制备废水和锅炉定期排污水直接用于灰渣库抑尘、厂区空地降尘洒水，不外排。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环保工程</w:t>
                  </w: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废气</w:t>
                  </w:r>
                </w:p>
              </w:tc>
              <w:tc>
                <w:tcPr>
                  <w:tcW w:w="59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锅炉废气经布袋除尘器+双碱法脱硫塔处理后，由1根40m高的排气筒进行排放。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废水</w:t>
                  </w:r>
                </w:p>
              </w:tc>
              <w:tc>
                <w:tcPr>
                  <w:tcW w:w="59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软水制备废水和锅炉定期排污水直接用于灰渣库抑尘、厂区空地降尘洒水，不外排。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噪声</w:t>
                  </w:r>
                </w:p>
              </w:tc>
              <w:tc>
                <w:tcPr>
                  <w:tcW w:w="59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给水泵、循环水泵、风机等设备运行时的噪声，通过封闭车间和减振等措施降噪。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4"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11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固废</w:t>
                  </w:r>
                </w:p>
              </w:tc>
              <w:tc>
                <w:tcPr>
                  <w:tcW w:w="596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燃煤热水锅炉产生的炉渣、</w:t>
                  </w:r>
                  <w:r>
                    <w:rPr>
                      <w:rFonts w:hint="default" w:ascii="Times New Roman" w:hAnsi="Times New Roman" w:eastAsia="宋体" w:cs="Times New Roman"/>
                      <w:b w:val="0"/>
                      <w:bCs w:val="0"/>
                      <w:color w:val="auto"/>
                      <w:sz w:val="21"/>
                      <w:szCs w:val="21"/>
                      <w:highlight w:val="none"/>
                      <w:vertAlign w:val="baseline"/>
                      <w:lang w:val="en-US" w:eastAsia="zh-CN"/>
                    </w:rPr>
                    <w:t>布袋除尘器收集的除尘灰、双碱法脱硫塔产生的脱硫石膏，均</w:t>
                  </w:r>
                  <w:r>
                    <w:rPr>
                      <w:rFonts w:hint="default" w:ascii="Times New Roman" w:hAnsi="Times New Roman" w:eastAsia="宋体" w:cs="Times New Roman"/>
                      <w:color w:val="auto"/>
                      <w:sz w:val="21"/>
                      <w:szCs w:val="21"/>
                      <w:highlight w:val="none"/>
                      <w:lang w:val="en-US" w:eastAsia="zh-CN"/>
                    </w:rPr>
                    <w:t>作为建筑材料外售综合利用。</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1.2主要原辅材料、能源情况</w:t>
            </w:r>
          </w:p>
          <w:p>
            <w:pPr>
              <w:kinsoku/>
              <w:wordWrap/>
              <w:bidi w:val="0"/>
              <w:spacing w:line="360" w:lineRule="auto"/>
              <w:ind w:left="0" w:leftChars="0" w:right="0" w:rightChars="0" w:firstLine="0" w:firstLineChars="0"/>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eastAsia="zh-CN"/>
              </w:rPr>
              <w:t>表</w:t>
            </w:r>
            <w:r>
              <w:rPr>
                <w:rFonts w:hint="default" w:ascii="Times New Roman" w:hAnsi="Times New Roman" w:eastAsia="宋体" w:cs="Times New Roman"/>
                <w:b/>
                <w:bCs/>
                <w:color w:val="auto"/>
                <w:highlight w:val="none"/>
                <w:lang w:val="en-US" w:eastAsia="zh-CN"/>
              </w:rPr>
              <w:t>2-2  能源消耗一览表</w:t>
            </w:r>
          </w:p>
          <w:tbl>
            <w:tblPr>
              <w:tblStyle w:val="20"/>
              <w:tblW w:w="81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8"/>
              <w:gridCol w:w="1710"/>
              <w:gridCol w:w="2304"/>
              <w:gridCol w:w="32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eastAsia="宋体" w:cs="Times New Roman"/>
                      <w:b/>
                      <w:bCs/>
                      <w:color w:val="auto"/>
                      <w:sz w:val="21"/>
                      <w:szCs w:val="21"/>
                      <w:highlight w:val="none"/>
                      <w:vertAlign w:val="baseline"/>
                      <w:lang w:eastAsia="zh-CN"/>
                    </w:rPr>
                    <w:t>序号</w:t>
                  </w:r>
                </w:p>
              </w:tc>
              <w:tc>
                <w:tcPr>
                  <w:tcW w:w="174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eastAsia="宋体" w:cs="Times New Roman"/>
                      <w:b/>
                      <w:bCs/>
                      <w:color w:val="auto"/>
                      <w:sz w:val="21"/>
                      <w:szCs w:val="21"/>
                      <w:highlight w:val="none"/>
                      <w:vertAlign w:val="baseline"/>
                      <w:lang w:eastAsia="zh-CN"/>
                    </w:rPr>
                    <w:t>名称</w:t>
                  </w:r>
                </w:p>
              </w:tc>
              <w:tc>
                <w:tcPr>
                  <w:tcW w:w="235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eastAsia="宋体" w:cs="Times New Roman"/>
                      <w:b/>
                      <w:bCs/>
                      <w:color w:val="auto"/>
                      <w:sz w:val="21"/>
                      <w:szCs w:val="21"/>
                      <w:highlight w:val="none"/>
                      <w:vertAlign w:val="baseline"/>
                      <w:lang w:eastAsia="zh-CN"/>
                    </w:rPr>
                    <w:t>单位</w:t>
                  </w:r>
                </w:p>
              </w:tc>
              <w:tc>
                <w:tcPr>
                  <w:tcW w:w="33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eastAsia="宋体" w:cs="Times New Roman"/>
                      <w:b/>
                      <w:bCs/>
                      <w:color w:val="auto"/>
                      <w:sz w:val="21"/>
                      <w:szCs w:val="21"/>
                      <w:highlight w:val="none"/>
                      <w:vertAlign w:val="baseline"/>
                      <w:lang w:eastAsia="zh-CN"/>
                    </w:rPr>
                    <w:t>消耗量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1</w:t>
                  </w:r>
                </w:p>
              </w:tc>
              <w:tc>
                <w:tcPr>
                  <w:tcW w:w="174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水</w:t>
                  </w:r>
                </w:p>
              </w:tc>
              <w:tc>
                <w:tcPr>
                  <w:tcW w:w="235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万</w:t>
                  </w:r>
                  <w:r>
                    <w:rPr>
                      <w:rFonts w:hint="default" w:ascii="Times New Roman" w:hAnsi="Times New Roman" w:eastAsia="宋体" w:cs="Times New Roman"/>
                      <w:b w:val="0"/>
                      <w:bCs w:val="0"/>
                      <w:color w:val="auto"/>
                      <w:sz w:val="21"/>
                      <w:szCs w:val="21"/>
                      <w:highlight w:val="none"/>
                      <w:vertAlign w:val="baseline"/>
                      <w:lang w:val="en-US" w:eastAsia="zh-CN"/>
                    </w:rPr>
                    <w:t>m</w:t>
                  </w:r>
                  <w:r>
                    <w:rPr>
                      <w:rFonts w:hint="default" w:ascii="Times New Roman" w:hAnsi="Times New Roman" w:eastAsia="宋体" w:cs="Times New Roman"/>
                      <w:b w:val="0"/>
                      <w:bCs w:val="0"/>
                      <w:color w:val="auto"/>
                      <w:sz w:val="21"/>
                      <w:szCs w:val="21"/>
                      <w:highlight w:val="none"/>
                      <w:vertAlign w:val="superscript"/>
                      <w:lang w:val="en-US" w:eastAsia="zh-CN"/>
                    </w:rPr>
                    <w:t>3</w:t>
                  </w:r>
                  <w:r>
                    <w:rPr>
                      <w:rFonts w:hint="default" w:ascii="Times New Roman" w:hAnsi="Times New Roman" w:eastAsia="宋体" w:cs="Times New Roman"/>
                      <w:b w:val="0"/>
                      <w:bCs w:val="0"/>
                      <w:color w:val="auto"/>
                      <w:sz w:val="21"/>
                      <w:szCs w:val="21"/>
                      <w:highlight w:val="none"/>
                      <w:vertAlign w:val="baseline"/>
                      <w:lang w:val="en-US" w:eastAsia="zh-CN"/>
                    </w:rPr>
                    <w:t>/a</w:t>
                  </w:r>
                </w:p>
              </w:tc>
              <w:tc>
                <w:tcPr>
                  <w:tcW w:w="33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2</w:t>
                  </w:r>
                </w:p>
              </w:tc>
              <w:tc>
                <w:tcPr>
                  <w:tcW w:w="174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电</w:t>
                  </w:r>
                </w:p>
              </w:tc>
              <w:tc>
                <w:tcPr>
                  <w:tcW w:w="235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kwh</w:t>
                  </w:r>
                </w:p>
              </w:tc>
              <w:tc>
                <w:tcPr>
                  <w:tcW w:w="33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color w:val="0000FF"/>
                      <w:sz w:val="21"/>
                      <w:szCs w:val="18"/>
                      <w:highlight w:val="none"/>
                      <w:lang w:val="en-US" w:eastAsia="zh-CN"/>
                    </w:rPr>
                    <w:t>6.8</w:t>
                  </w:r>
                  <w:r>
                    <w:rPr>
                      <w:rFonts w:hint="default" w:ascii="Times New Roman" w:hAnsi="Times New Roman" w:eastAsia="宋体" w:cs="Times New Roman"/>
                      <w:color w:val="0000FF"/>
                      <w:sz w:val="21"/>
                      <w:szCs w:val="18"/>
                      <w:highlight w:val="none"/>
                    </w:rPr>
                    <w:t>×10</w:t>
                  </w:r>
                  <w:r>
                    <w:rPr>
                      <w:rFonts w:hint="default" w:ascii="Times New Roman" w:hAnsi="Times New Roman" w:eastAsia="宋体" w:cs="Times New Roman"/>
                      <w:color w:val="0000FF"/>
                      <w:sz w:val="21"/>
                      <w:szCs w:val="18"/>
                      <w:highlight w:val="none"/>
                      <w:vertAlign w:val="superscript"/>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3</w:t>
                  </w:r>
                </w:p>
              </w:tc>
              <w:tc>
                <w:tcPr>
                  <w:tcW w:w="174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煤炭</w:t>
                  </w:r>
                </w:p>
              </w:tc>
              <w:tc>
                <w:tcPr>
                  <w:tcW w:w="235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t/a</w:t>
                  </w:r>
                </w:p>
              </w:tc>
              <w:tc>
                <w:tcPr>
                  <w:tcW w:w="33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1600</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textAlignment w:val="auto"/>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val="en-US" w:eastAsia="zh-CN"/>
              </w:rPr>
              <w:t>1.3</w:t>
            </w:r>
            <w:r>
              <w:rPr>
                <w:rFonts w:hint="default" w:ascii="Times New Roman" w:hAnsi="Times New Roman" w:eastAsia="宋体" w:cs="Times New Roman"/>
                <w:b/>
                <w:bCs/>
                <w:color w:val="auto"/>
                <w:highlight w:val="none"/>
                <w:lang w:eastAsia="zh-CN"/>
              </w:rPr>
              <w:t>现有项目生产设备</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现有项目主要生产设备见表</w:t>
            </w:r>
            <w:r>
              <w:rPr>
                <w:rFonts w:hint="default" w:ascii="Times New Roman" w:hAnsi="Times New Roman" w:eastAsia="宋体" w:cs="Times New Roman"/>
                <w:color w:val="auto"/>
                <w:highlight w:val="none"/>
                <w:lang w:val="en-US" w:eastAsia="zh-CN"/>
              </w:rPr>
              <w:t>2-3。</w:t>
            </w:r>
          </w:p>
          <w:p>
            <w:pPr>
              <w:kinsoku/>
              <w:wordWrap/>
              <w:bidi w:val="0"/>
              <w:spacing w:line="360" w:lineRule="auto"/>
              <w:ind w:left="0" w:leftChars="0" w:right="0" w:rightChars="0" w:firstLine="0" w:firstLineChars="0"/>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eastAsia="zh-CN"/>
              </w:rPr>
              <w:t>表</w:t>
            </w:r>
            <w:r>
              <w:rPr>
                <w:rFonts w:hint="default" w:ascii="Times New Roman" w:hAnsi="Times New Roman" w:eastAsia="宋体" w:cs="Times New Roman"/>
                <w:b/>
                <w:bCs/>
                <w:color w:val="auto"/>
                <w:highlight w:val="none"/>
                <w:lang w:val="en-US" w:eastAsia="zh-CN"/>
              </w:rPr>
              <w:t>2-3  现有项目生产设备一览表</w:t>
            </w:r>
          </w:p>
          <w:tbl>
            <w:tblPr>
              <w:tblStyle w:val="20"/>
              <w:tblW w:w="81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6"/>
              <w:gridCol w:w="1883"/>
              <w:gridCol w:w="3685"/>
              <w:gridCol w:w="774"/>
              <w:gridCol w:w="9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序号</w:t>
                  </w:r>
                </w:p>
              </w:tc>
              <w:tc>
                <w:tcPr>
                  <w:tcW w:w="188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sz w:val="21"/>
                      <w:szCs w:val="21"/>
                      <w:highlight w:val="none"/>
                      <w:vertAlign w:val="baseline"/>
                      <w:lang w:eastAsia="zh-CN"/>
                    </w:rPr>
                    <w:t>设备名称</w:t>
                  </w:r>
                </w:p>
              </w:tc>
              <w:tc>
                <w:tcPr>
                  <w:tcW w:w="368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sz w:val="21"/>
                      <w:szCs w:val="21"/>
                      <w:highlight w:val="none"/>
                      <w:vertAlign w:val="baseline"/>
                      <w:lang w:eastAsia="zh-CN"/>
                    </w:rPr>
                    <w:t>型号或尺寸</w:t>
                  </w:r>
                </w:p>
              </w:tc>
              <w:tc>
                <w:tcPr>
                  <w:tcW w:w="77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单位</w:t>
                  </w:r>
                </w:p>
              </w:tc>
              <w:tc>
                <w:tcPr>
                  <w:tcW w:w="9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eastAsia="宋体" w:cs="Times New Roman"/>
                      <w:b/>
                      <w:bCs/>
                      <w:color w:val="auto"/>
                      <w:sz w:val="21"/>
                      <w:szCs w:val="21"/>
                      <w:highlight w:val="none"/>
                      <w:vertAlign w:val="baseline"/>
                      <w:lang w:eastAsia="zh-CN"/>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w:t>
                  </w:r>
                </w:p>
              </w:tc>
              <w:tc>
                <w:tcPr>
                  <w:tcW w:w="188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燃煤热水锅炉</w:t>
                  </w:r>
                </w:p>
              </w:tc>
              <w:tc>
                <w:tcPr>
                  <w:tcW w:w="368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4t/h</w:t>
                  </w:r>
                </w:p>
              </w:tc>
              <w:tc>
                <w:tcPr>
                  <w:tcW w:w="77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台</w:t>
                  </w:r>
                </w:p>
              </w:tc>
              <w:tc>
                <w:tcPr>
                  <w:tcW w:w="9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p>
              </w:tc>
              <w:tc>
                <w:tcPr>
                  <w:tcW w:w="188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布袋除尘器</w:t>
                  </w:r>
                </w:p>
              </w:tc>
              <w:tc>
                <w:tcPr>
                  <w:tcW w:w="368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77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台</w:t>
                  </w:r>
                </w:p>
              </w:tc>
              <w:tc>
                <w:tcPr>
                  <w:tcW w:w="9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w:t>
                  </w:r>
                </w:p>
              </w:tc>
              <w:tc>
                <w:tcPr>
                  <w:tcW w:w="188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双碱法脱硫塔</w:t>
                  </w:r>
                </w:p>
              </w:tc>
              <w:tc>
                <w:tcPr>
                  <w:tcW w:w="368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77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台</w:t>
                  </w:r>
                </w:p>
              </w:tc>
              <w:tc>
                <w:tcPr>
                  <w:tcW w:w="96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w:t>
                  </w:r>
                </w:p>
              </w:tc>
              <w:tc>
                <w:tcPr>
                  <w:tcW w:w="1883"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软水制备装置</w:t>
                  </w:r>
                </w:p>
              </w:tc>
              <w:tc>
                <w:tcPr>
                  <w:tcW w:w="368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774"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台</w:t>
                  </w:r>
                </w:p>
              </w:tc>
              <w:tc>
                <w:tcPr>
                  <w:tcW w:w="969"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w:t>
                  </w:r>
                </w:p>
              </w:tc>
              <w:tc>
                <w:tcPr>
                  <w:tcW w:w="188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循环水泵</w:t>
                  </w:r>
                </w:p>
              </w:tc>
              <w:tc>
                <w:tcPr>
                  <w:tcW w:w="368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55KW</w:t>
                  </w:r>
                </w:p>
              </w:tc>
              <w:tc>
                <w:tcPr>
                  <w:tcW w:w="77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台</w:t>
                  </w:r>
                </w:p>
              </w:tc>
              <w:tc>
                <w:tcPr>
                  <w:tcW w:w="96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9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w:t>
                  </w:r>
                </w:p>
              </w:tc>
              <w:tc>
                <w:tcPr>
                  <w:tcW w:w="1883"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排气筒</w:t>
                  </w:r>
                </w:p>
              </w:tc>
              <w:tc>
                <w:tcPr>
                  <w:tcW w:w="3685"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40m</w:t>
                  </w:r>
                </w:p>
              </w:tc>
              <w:tc>
                <w:tcPr>
                  <w:tcW w:w="774"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根</w:t>
                  </w:r>
                </w:p>
              </w:tc>
              <w:tc>
                <w:tcPr>
                  <w:tcW w:w="969" w:type="dxa"/>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w:t>
                  </w:r>
                </w:p>
              </w:tc>
            </w:tr>
          </w:tbl>
          <w:p>
            <w:pPr>
              <w:bidi w:val="0"/>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val="en-US" w:eastAsia="zh-CN"/>
              </w:rPr>
              <w:t>1.4</w:t>
            </w:r>
            <w:r>
              <w:rPr>
                <w:rFonts w:hint="default" w:ascii="Times New Roman" w:hAnsi="Times New Roman" w:eastAsia="宋体" w:cs="Times New Roman"/>
                <w:b/>
                <w:bCs/>
                <w:color w:val="auto"/>
                <w:highlight w:val="none"/>
                <w:lang w:eastAsia="zh-CN"/>
              </w:rPr>
              <w:t>公用工程</w:t>
            </w:r>
          </w:p>
          <w:p>
            <w:pPr>
              <w:bidi w:val="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1.4.1给排水</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现有项目建设前矿山水源地为现工业场地附近的两口大口井。新建选矿厂生产、生活用水水源取自小佘太镇增隆昌水库，通过25km管道，加压输送至新选厂西北山坡上两个800m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高位水池。</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b/>
                <w:bCs/>
                <w:color w:val="auto"/>
                <w:highlight w:val="none"/>
                <w:lang w:val="en-US" w:eastAsia="zh-CN"/>
              </w:rPr>
              <w:t>1.4.3供电</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现有</w:t>
            </w:r>
            <w:r>
              <w:rPr>
                <w:rFonts w:hint="default" w:ascii="Times New Roman" w:hAnsi="Times New Roman" w:eastAsia="宋体" w:cs="Times New Roman"/>
                <w:color w:val="auto"/>
                <w:highlight w:val="none"/>
                <w:lang w:eastAsia="zh-CN"/>
              </w:rPr>
              <w:t>项目</w:t>
            </w:r>
            <w:r>
              <w:rPr>
                <w:rFonts w:hint="default" w:ascii="Times New Roman" w:hAnsi="Times New Roman" w:eastAsia="宋体" w:cs="Times New Roman"/>
                <w:color w:val="auto"/>
                <w:highlight w:val="none"/>
              </w:rPr>
              <w:t>电源由</w:t>
            </w:r>
            <w:r>
              <w:rPr>
                <w:rFonts w:hint="default" w:ascii="Times New Roman" w:hAnsi="Times New Roman" w:eastAsia="宋体" w:cs="Times New Roman"/>
                <w:color w:val="auto"/>
                <w:highlight w:val="none"/>
                <w:lang w:val="en-US" w:eastAsia="zh-CN"/>
              </w:rPr>
              <w:t>小佘太镇</w:t>
            </w:r>
            <w:r>
              <w:rPr>
                <w:rFonts w:hint="default" w:ascii="Times New Roman" w:hAnsi="Times New Roman" w:eastAsia="宋体" w:cs="Times New Roman"/>
                <w:color w:val="auto"/>
                <w:highlight w:val="none"/>
              </w:rPr>
              <w:t>供电网络引入。</w:t>
            </w:r>
          </w:p>
          <w:p>
            <w:pPr>
              <w:bidi w:val="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1.4.4供暖</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现有项目</w:t>
            </w:r>
            <w:r>
              <w:rPr>
                <w:rFonts w:hint="default" w:ascii="Times New Roman" w:hAnsi="Times New Roman" w:eastAsia="宋体" w:cs="Times New Roman"/>
                <w:color w:val="auto"/>
                <w:highlight w:val="none"/>
              </w:rPr>
              <w:t>冬季</w:t>
            </w:r>
            <w:r>
              <w:rPr>
                <w:rFonts w:hint="default" w:ascii="Times New Roman" w:hAnsi="Times New Roman" w:eastAsia="宋体" w:cs="Times New Roman"/>
                <w:color w:val="auto"/>
                <w:highlight w:val="none"/>
                <w:lang w:eastAsia="zh-CN"/>
              </w:rPr>
              <w:t>生活区</w:t>
            </w:r>
            <w:r>
              <w:rPr>
                <w:rFonts w:hint="default" w:ascii="Times New Roman" w:hAnsi="Times New Roman" w:eastAsia="宋体" w:cs="Times New Roman"/>
                <w:color w:val="auto"/>
                <w:highlight w:val="none"/>
                <w:lang w:val="en-US" w:eastAsia="zh-CN"/>
              </w:rPr>
              <w:t>和厂区</w:t>
            </w:r>
            <w:r>
              <w:rPr>
                <w:rFonts w:hint="default" w:ascii="Times New Roman" w:hAnsi="Times New Roman" w:eastAsia="宋体" w:cs="Times New Roman"/>
                <w:color w:val="auto"/>
                <w:highlight w:val="none"/>
              </w:rPr>
              <w:t>取暖采用</w:t>
            </w:r>
            <w:r>
              <w:rPr>
                <w:rFonts w:hint="default" w:ascii="Times New Roman" w:hAnsi="Times New Roman" w:eastAsia="宋体" w:cs="Times New Roman"/>
                <w:color w:val="auto"/>
                <w:highlight w:val="none"/>
                <w:lang w:val="en-US" w:eastAsia="zh-CN"/>
              </w:rPr>
              <w:t>燃煤热水锅炉供给</w:t>
            </w:r>
            <w:r>
              <w:rPr>
                <w:rFonts w:hint="default" w:ascii="Times New Roman" w:hAnsi="Times New Roman" w:eastAsia="宋体" w:cs="Times New Roman"/>
                <w:color w:val="auto"/>
                <w:highlight w:val="none"/>
              </w:rPr>
              <w:t>。</w:t>
            </w:r>
          </w:p>
          <w:p>
            <w:pPr>
              <w:bidi w:val="0"/>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val="en-US" w:eastAsia="zh-CN"/>
              </w:rPr>
              <w:t>2、改建项目</w:t>
            </w:r>
            <w:r>
              <w:rPr>
                <w:rFonts w:hint="default" w:ascii="Times New Roman" w:hAnsi="Times New Roman" w:eastAsia="宋体" w:cs="Times New Roman"/>
                <w:b/>
                <w:bCs/>
                <w:color w:val="auto"/>
                <w:highlight w:val="none"/>
                <w:lang w:eastAsia="zh-CN"/>
              </w:rPr>
              <w:t>基本情况</w:t>
            </w:r>
          </w:p>
          <w:p>
            <w:pPr>
              <w:bidi w:val="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2.1改建项目建设内容及规模</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项目名称：</w:t>
            </w:r>
            <w:r>
              <w:rPr>
                <w:rFonts w:hint="eastAsia" w:cs="Times New Roman"/>
                <w:color w:val="auto"/>
                <w:highlight w:val="none"/>
                <w:lang w:eastAsia="zh-CN"/>
              </w:rPr>
              <w:t>大中矿业股份有限公司</w:t>
            </w:r>
            <w:r>
              <w:rPr>
                <w:rFonts w:hint="default" w:ascii="Times New Roman" w:hAnsi="Times New Roman" w:eastAsia="宋体" w:cs="Times New Roman"/>
                <w:color w:val="auto"/>
                <w:highlight w:val="none"/>
                <w:lang w:eastAsia="zh-CN"/>
              </w:rPr>
              <w:t>东五份子矿区锅炉改建项目</w:t>
            </w:r>
            <w:r>
              <w:rPr>
                <w:rFonts w:hint="default" w:ascii="Times New Roman" w:hAnsi="Times New Roman" w:eastAsia="宋体" w:cs="Times New Roman"/>
                <w:color w:val="auto"/>
                <w:highlight w:val="none"/>
              </w:rPr>
              <w:t>；</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建设性质：</w:t>
            </w:r>
            <w:r>
              <w:rPr>
                <w:rFonts w:hint="default" w:ascii="Times New Roman" w:hAnsi="Times New Roman" w:eastAsia="宋体" w:cs="Times New Roman"/>
                <w:color w:val="auto"/>
                <w:highlight w:val="none"/>
                <w:lang w:val="en-US" w:eastAsia="zh-CN"/>
              </w:rPr>
              <w:t>改</w:t>
            </w:r>
            <w:r>
              <w:rPr>
                <w:rFonts w:hint="default" w:ascii="Times New Roman" w:hAnsi="Times New Roman" w:eastAsia="宋体" w:cs="Times New Roman"/>
                <w:color w:val="auto"/>
                <w:highlight w:val="none"/>
                <w:lang w:eastAsia="zh-CN"/>
              </w:rPr>
              <w:t>建</w:t>
            </w:r>
            <w:r>
              <w:rPr>
                <w:rFonts w:hint="default" w:ascii="Times New Roman" w:hAnsi="Times New Roman" w:eastAsia="宋体" w:cs="Times New Roman"/>
                <w:color w:val="auto"/>
                <w:highlight w:val="none"/>
              </w:rPr>
              <w:t>；</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建设单位：</w:t>
            </w:r>
            <w:r>
              <w:rPr>
                <w:rFonts w:hint="eastAsia" w:cs="Times New Roman"/>
                <w:color w:val="auto"/>
                <w:highlight w:val="none"/>
                <w:lang w:eastAsia="zh-CN"/>
              </w:rPr>
              <w:t>大中矿业股份有限公司</w:t>
            </w:r>
            <w:r>
              <w:rPr>
                <w:rFonts w:hint="default" w:ascii="Times New Roman" w:hAnsi="Times New Roman" w:eastAsia="宋体" w:cs="Times New Roman"/>
                <w:color w:val="auto"/>
                <w:highlight w:val="none"/>
              </w:rPr>
              <w:t>；</w:t>
            </w:r>
          </w:p>
          <w:p>
            <w:pPr>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建设地点：</w:t>
            </w:r>
            <w:r>
              <w:rPr>
                <w:rFonts w:hint="eastAsia" w:cs="Times New Roman"/>
                <w:color w:val="auto"/>
                <w:highlight w:val="none"/>
                <w:lang w:eastAsia="zh-CN"/>
              </w:rPr>
              <w:t>内蒙古自治区巴彦淖尔市乌拉特前旗小佘太镇东五份子村，大中矿业股份有限公司现有锅炉房内</w:t>
            </w:r>
            <w:r>
              <w:rPr>
                <w:rFonts w:hint="default" w:ascii="Times New Roman" w:hAnsi="Times New Roman" w:eastAsia="宋体" w:cs="Times New Roman"/>
                <w:color w:val="auto"/>
                <w:highlight w:val="none"/>
              </w:rPr>
              <w:t>，项目中心地理坐标：东经109°36′26.705″，北纬41°03′24.799″，项目具体地理位置见附图1</w:t>
            </w:r>
            <w:r>
              <w:rPr>
                <w:rFonts w:hint="default" w:ascii="Times New Roman" w:hAnsi="Times New Roman" w:eastAsia="宋体" w:cs="Times New Roman"/>
                <w:color w:val="auto"/>
                <w:highlight w:val="none"/>
                <w:lang w:eastAsia="zh-CN"/>
              </w:rPr>
              <w:t>。</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占地面积：本次工程不新增占地。</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项目投资：总投资</w:t>
            </w:r>
            <w:r>
              <w:rPr>
                <w:rFonts w:hint="default" w:ascii="Times New Roman" w:hAnsi="Times New Roman" w:eastAsia="宋体" w:cs="Times New Roman"/>
                <w:color w:val="auto"/>
                <w:highlight w:val="none"/>
                <w:lang w:val="en-US" w:eastAsia="zh-CN"/>
              </w:rPr>
              <w:t>100</w:t>
            </w:r>
            <w:r>
              <w:rPr>
                <w:rFonts w:hint="default" w:ascii="Times New Roman" w:hAnsi="Times New Roman" w:eastAsia="宋体" w:cs="Times New Roman"/>
                <w:color w:val="auto"/>
                <w:highlight w:val="none"/>
              </w:rPr>
              <w:t>万元，环保投资为</w:t>
            </w:r>
            <w:r>
              <w:rPr>
                <w:rFonts w:hint="default" w:ascii="Times New Roman" w:hAnsi="Times New Roman" w:eastAsia="宋体" w:cs="Times New Roman"/>
                <w:color w:val="auto"/>
                <w:sz w:val="24"/>
                <w:szCs w:val="24"/>
                <w:highlight w:val="none"/>
                <w:lang w:val="en-US" w:eastAsia="zh-CN"/>
              </w:rPr>
              <w:t>16.5</w:t>
            </w:r>
            <w:r>
              <w:rPr>
                <w:rFonts w:hint="default" w:ascii="Times New Roman" w:hAnsi="Times New Roman" w:eastAsia="宋体" w:cs="Times New Roman"/>
                <w:color w:val="auto"/>
                <w:highlight w:val="none"/>
              </w:rPr>
              <w:t>万元，占总投资的</w:t>
            </w:r>
            <w:r>
              <w:rPr>
                <w:rFonts w:hint="default" w:ascii="Times New Roman" w:hAnsi="Times New Roman" w:eastAsia="宋体" w:cs="Times New Roman"/>
                <w:color w:val="auto"/>
                <w:sz w:val="24"/>
                <w:szCs w:val="24"/>
                <w:highlight w:val="none"/>
                <w:lang w:val="en-US" w:eastAsia="zh-CN"/>
              </w:rPr>
              <w:t>16.5</w:t>
            </w:r>
            <w:r>
              <w:rPr>
                <w:rFonts w:hint="default" w:ascii="Times New Roman" w:hAnsi="Times New Roman" w:eastAsia="宋体" w:cs="Times New Roman"/>
                <w:color w:val="auto"/>
                <w:highlight w:val="none"/>
              </w:rPr>
              <w:t>%。</w:t>
            </w:r>
          </w:p>
          <w:p>
            <w:pPr>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建设内容：</w:t>
            </w:r>
            <w:r>
              <w:rPr>
                <w:rFonts w:hint="default" w:ascii="Times New Roman" w:hAnsi="Times New Roman" w:eastAsia="宋体" w:cs="Times New Roman"/>
                <w:color w:val="auto"/>
                <w:highlight w:val="none"/>
                <w:lang w:eastAsia="zh-CN"/>
              </w:rPr>
              <w:t>本次工程主要为拆除锅炉房内原有</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eastAsia="zh-CN"/>
              </w:rPr>
              <w:t>台4t/h的燃煤热水锅炉中的</w:t>
            </w:r>
            <w:r>
              <w:rPr>
                <w:rFonts w:hint="default" w:ascii="Times New Roman" w:hAnsi="Times New Roman" w:eastAsia="宋体" w:cs="Times New Roman"/>
                <w:color w:val="auto"/>
                <w:highlight w:val="none"/>
                <w:lang w:val="en-US" w:eastAsia="zh-CN"/>
              </w:rPr>
              <w:t>2台</w:t>
            </w:r>
            <w:r>
              <w:rPr>
                <w:rFonts w:hint="default" w:ascii="Times New Roman" w:hAnsi="Times New Roman" w:eastAsia="宋体" w:cs="Times New Roman"/>
                <w:color w:val="auto"/>
                <w:highlight w:val="none"/>
                <w:lang w:eastAsia="zh-CN"/>
              </w:rPr>
              <w:t>，保留1台4t/h的燃煤热水锅炉，改为备用；新建1台10t/h的生物质热水锅炉，生物质热水锅炉为主设备</w:t>
            </w:r>
            <w:r>
              <w:rPr>
                <w:rFonts w:hint="eastAsia" w:cs="Times New Roman"/>
                <w:color w:val="auto"/>
                <w:highlight w:val="none"/>
                <w:lang w:eastAsia="zh-CN"/>
              </w:rPr>
              <w:t>。</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改建项目组成情况见表2-</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w:t>
            </w:r>
          </w:p>
          <w:p>
            <w:pPr>
              <w:bidi w:val="0"/>
              <w:ind w:left="0" w:leftChars="0" w:firstLine="0" w:firstLine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表2-</w:t>
            </w:r>
            <w:r>
              <w:rPr>
                <w:rFonts w:hint="default" w:ascii="Times New Roman" w:hAnsi="Times New Roman" w:eastAsia="宋体" w:cs="Times New Roman"/>
                <w:b/>
                <w:bCs/>
                <w:color w:val="auto"/>
                <w:highlight w:val="none"/>
                <w:lang w:val="en-US" w:eastAsia="zh-CN"/>
              </w:rPr>
              <w:t>4  生物质热水锅炉改建</w:t>
            </w:r>
            <w:r>
              <w:rPr>
                <w:rFonts w:hint="default" w:ascii="Times New Roman" w:hAnsi="Times New Roman" w:eastAsia="宋体" w:cs="Times New Roman"/>
                <w:b/>
                <w:bCs/>
                <w:color w:val="auto"/>
                <w:highlight w:val="none"/>
              </w:rPr>
              <w:t>项目组成表</w:t>
            </w:r>
          </w:p>
          <w:tbl>
            <w:tblPr>
              <w:tblStyle w:val="19"/>
              <w:tblW w:w="81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35"/>
              <w:gridCol w:w="936"/>
              <w:gridCol w:w="5291"/>
              <w:gridCol w:w="9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35"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工程</w:t>
                  </w:r>
                </w:p>
              </w:tc>
              <w:tc>
                <w:tcPr>
                  <w:tcW w:w="936"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项目</w:t>
                  </w:r>
                </w:p>
              </w:tc>
              <w:tc>
                <w:tcPr>
                  <w:tcW w:w="5291"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eastAsia="zh-CN"/>
                    </w:rPr>
                    <w:t>改建项目</w:t>
                  </w:r>
                  <w:r>
                    <w:rPr>
                      <w:rFonts w:hint="default" w:ascii="Times New Roman" w:hAnsi="Times New Roman" w:eastAsia="宋体" w:cs="Times New Roman"/>
                      <w:b/>
                      <w:bCs/>
                      <w:color w:val="auto"/>
                      <w:sz w:val="21"/>
                      <w:szCs w:val="21"/>
                      <w:highlight w:val="none"/>
                    </w:rPr>
                    <w:t>建设内容</w:t>
                  </w:r>
                </w:p>
              </w:tc>
              <w:tc>
                <w:tcPr>
                  <w:tcW w:w="945"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35" w:type="dxa"/>
                  <w:vMerge w:val="restar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主体</w:t>
                  </w:r>
                </w:p>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color w:val="auto"/>
                      <w:sz w:val="21"/>
                      <w:szCs w:val="21"/>
                      <w:highlight w:val="none"/>
                    </w:rPr>
                    <w:t>工程</w:t>
                  </w:r>
                </w:p>
              </w:tc>
              <w:tc>
                <w:tcPr>
                  <w:tcW w:w="936"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锅炉房</w:t>
                  </w:r>
                </w:p>
              </w:tc>
              <w:tc>
                <w:tcPr>
                  <w:tcW w:w="529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0" w:firstLineChars="200"/>
                    <w:jc w:val="both"/>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依托原有锅炉房，拆除原锅炉房内2台4t/h的燃煤热水锅炉，保留1台4t/h的燃煤热水锅炉，改为备用；新建1台10t/h的生物质热水锅炉，生物质热水锅炉为主设备，燃煤热水锅炉作为备用设备，2台锅炉呈南北方向并排布置，锅炉西侧设置1台10t/h软水制备装置。</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0" w:firstLineChars="20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地面采用抗渗混凝土。</w:t>
                  </w:r>
                </w:p>
              </w:tc>
              <w:tc>
                <w:tcPr>
                  <w:tcW w:w="945"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锅炉房依托现有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35" w:type="dxa"/>
                  <w:vMerge w:val="continue"/>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936"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燃料库</w:t>
                  </w:r>
                </w:p>
              </w:tc>
              <w:tc>
                <w:tcPr>
                  <w:tcW w:w="529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0" w:firstLineChars="200"/>
                    <w:jc w:val="both"/>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lang w:val="en-US" w:eastAsia="zh-CN"/>
                    </w:rPr>
                    <w:t>位于锅炉房南侧，</w:t>
                  </w:r>
                  <w:r>
                    <w:rPr>
                      <w:rFonts w:hint="default" w:ascii="Times New Roman" w:hAnsi="Times New Roman" w:eastAsia="宋体" w:cs="Times New Roman"/>
                      <w:color w:val="auto"/>
                      <w:sz w:val="21"/>
                      <w:szCs w:val="21"/>
                      <w:highlight w:val="none"/>
                      <w:lang w:val="en-US" w:eastAsia="zh-CN"/>
                    </w:rPr>
                    <w:t>占地</w:t>
                  </w:r>
                  <w:r>
                    <w:rPr>
                      <w:rFonts w:hint="default" w:ascii="Times New Roman" w:hAnsi="Times New Roman" w:eastAsia="宋体" w:cs="Times New Roman"/>
                      <w:color w:val="auto"/>
                      <w:sz w:val="21"/>
                      <w:szCs w:val="21"/>
                      <w:highlight w:val="none"/>
                    </w:rPr>
                    <w:t>面积</w:t>
                  </w:r>
                  <w:r>
                    <w:rPr>
                      <w:rFonts w:hint="default" w:ascii="Times New Roman" w:hAnsi="Times New Roman" w:eastAsia="宋体" w:cs="Times New Roman"/>
                      <w:color w:val="auto"/>
                      <w:sz w:val="21"/>
                      <w:szCs w:val="21"/>
                      <w:highlight w:val="none"/>
                      <w:lang w:val="en-US" w:eastAsia="zh-CN"/>
                    </w:rPr>
                    <w:t>为20</w:t>
                  </w:r>
                  <w:r>
                    <w:rPr>
                      <w:rFonts w:hint="default" w:ascii="Times New Roman" w:hAnsi="Times New Roman" w:eastAsia="宋体" w:cs="Times New Roman"/>
                      <w:color w:val="auto"/>
                      <w:sz w:val="21"/>
                      <w:szCs w:val="21"/>
                      <w:highlight w:val="none"/>
                    </w:rPr>
                    <w:t>0m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lang w:val="en-US" w:eastAsia="zh-CN"/>
                    </w:rPr>
                    <w:t>为全封闭式构筑物，用于储存生物质燃料。</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0" w:firstLineChars="20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地面采用抗渗混凝土。</w:t>
                  </w:r>
                </w:p>
              </w:tc>
              <w:tc>
                <w:tcPr>
                  <w:tcW w:w="945"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35" w:type="dxa"/>
                  <w:vMerge w:val="continue"/>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93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灰渣库</w:t>
                  </w:r>
                </w:p>
              </w:tc>
              <w:tc>
                <w:tcPr>
                  <w:tcW w:w="529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0" w:firstLineChars="200"/>
                    <w:jc w:val="both"/>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位于锅炉房南侧，占地面积为150m</w:t>
                  </w:r>
                  <w:r>
                    <w:rPr>
                      <w:rFonts w:hint="default" w:ascii="Times New Roman" w:hAnsi="Times New Roman" w:eastAsia="宋体" w:cs="Times New Roman"/>
                      <w:b w:val="0"/>
                      <w:bCs w:val="0"/>
                      <w:color w:val="auto"/>
                      <w:sz w:val="21"/>
                      <w:szCs w:val="21"/>
                      <w:highlight w:val="none"/>
                      <w:vertAlign w:val="superscript"/>
                      <w:lang w:val="en-US" w:eastAsia="zh-CN"/>
                    </w:rPr>
                    <w:t>2</w:t>
                  </w:r>
                  <w:r>
                    <w:rPr>
                      <w:rFonts w:hint="default" w:ascii="Times New Roman" w:hAnsi="Times New Roman" w:eastAsia="宋体" w:cs="Times New Roman"/>
                      <w:b w:val="0"/>
                      <w:bCs w:val="0"/>
                      <w:color w:val="auto"/>
                      <w:sz w:val="21"/>
                      <w:szCs w:val="21"/>
                      <w:highlight w:val="none"/>
                      <w:lang w:val="en-US" w:eastAsia="zh-CN"/>
                    </w:rPr>
                    <w:t>，为全封闭构筑物，用于储存灰渣、除尘灰、脱硫石膏。</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0" w:firstLineChars="200"/>
                    <w:jc w:val="both"/>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属于一般防渗区，地面</w:t>
                  </w:r>
                  <w:r>
                    <w:rPr>
                      <w:rFonts w:hint="eastAsia" w:cs="Times New Roman"/>
                      <w:color w:val="auto"/>
                      <w:sz w:val="21"/>
                      <w:szCs w:val="21"/>
                      <w:highlight w:val="none"/>
                      <w:lang w:val="en-US" w:eastAsia="zh-CN"/>
                    </w:rPr>
                    <w:t>按照</w:t>
                  </w:r>
                  <w:r>
                    <w:rPr>
                      <w:rFonts w:hint="default" w:ascii="Times New Roman" w:hAnsi="Times New Roman" w:eastAsia="宋体" w:cs="Times New Roman"/>
                      <w:color w:val="auto"/>
                      <w:sz w:val="21"/>
                      <w:szCs w:val="21"/>
                      <w:highlight w:val="none"/>
                      <w:lang w:val="en-US" w:eastAsia="zh-CN"/>
                    </w:rPr>
                    <w:t>《一般工业固体废物贮存和填埋污染控制标准》（GB18599-2020）中Ⅰ类场技术要求建设</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采用混凝土硬化</w:t>
                  </w:r>
                  <w:r>
                    <w:rPr>
                      <w:rFonts w:hint="default" w:ascii="Times New Roman" w:hAnsi="Times New Roman" w:eastAsia="宋体" w:cs="Times New Roman"/>
                      <w:b w:val="0"/>
                      <w:bCs w:val="0"/>
                      <w:color w:val="auto"/>
                      <w:sz w:val="21"/>
                      <w:szCs w:val="21"/>
                      <w:highlight w:val="none"/>
                      <w:lang w:val="en-US" w:eastAsia="zh-CN"/>
                    </w:rPr>
                    <w:t>。</w:t>
                  </w:r>
                </w:p>
              </w:tc>
              <w:tc>
                <w:tcPr>
                  <w:tcW w:w="945"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35" w:type="dxa"/>
                  <w:vMerge w:val="restar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公用工程</w:t>
                  </w:r>
                </w:p>
              </w:tc>
              <w:tc>
                <w:tcPr>
                  <w:tcW w:w="936"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给水</w:t>
                  </w:r>
                </w:p>
              </w:tc>
              <w:tc>
                <w:tcPr>
                  <w:tcW w:w="529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用水由</w:t>
                  </w:r>
                  <w:r>
                    <w:rPr>
                      <w:rFonts w:hint="default" w:ascii="Times New Roman" w:hAnsi="Times New Roman" w:eastAsia="宋体" w:cs="Times New Roman"/>
                      <w:color w:val="auto"/>
                      <w:sz w:val="21"/>
                      <w:szCs w:val="21"/>
                      <w:highlight w:val="none"/>
                      <w:lang w:val="en-US" w:eastAsia="zh-CN"/>
                    </w:rPr>
                    <w:t>小佘太镇增隆昌水库供给。</w:t>
                  </w:r>
                </w:p>
              </w:tc>
              <w:tc>
                <w:tcPr>
                  <w:tcW w:w="945"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35" w:type="dxa"/>
                  <w:vMerge w:val="continue"/>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936"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排水</w:t>
                  </w:r>
                </w:p>
              </w:tc>
              <w:tc>
                <w:tcPr>
                  <w:tcW w:w="529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软水制备废水和锅炉定期排污水直接用于灰渣库抑尘、厂区空地降尘洒水，不外排。</w:t>
                  </w:r>
                </w:p>
              </w:tc>
              <w:tc>
                <w:tcPr>
                  <w:tcW w:w="945"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35" w:type="dxa"/>
                  <w:vMerge w:val="continue"/>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936"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供电</w:t>
                  </w:r>
                </w:p>
              </w:tc>
              <w:tc>
                <w:tcPr>
                  <w:tcW w:w="529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用电由小佘太</w:t>
                  </w:r>
                  <w:r>
                    <w:rPr>
                      <w:rFonts w:hint="default" w:ascii="Times New Roman" w:hAnsi="Times New Roman" w:eastAsia="宋体" w:cs="Times New Roman"/>
                      <w:color w:val="auto"/>
                      <w:sz w:val="21"/>
                      <w:szCs w:val="21"/>
                      <w:highlight w:val="none"/>
                      <w:lang w:val="en-US" w:eastAsia="zh-CN"/>
                    </w:rPr>
                    <w:t>镇</w:t>
                  </w:r>
                  <w:r>
                    <w:rPr>
                      <w:rFonts w:hint="default" w:ascii="Times New Roman" w:hAnsi="Times New Roman" w:eastAsia="宋体" w:cs="Times New Roman"/>
                      <w:color w:val="auto"/>
                      <w:sz w:val="21"/>
                      <w:szCs w:val="21"/>
                      <w:highlight w:val="none"/>
                    </w:rPr>
                    <w:t>电网接入</w:t>
                  </w:r>
                  <w:r>
                    <w:rPr>
                      <w:rFonts w:hint="default" w:ascii="Times New Roman" w:hAnsi="Times New Roman" w:eastAsia="宋体" w:cs="Times New Roman"/>
                      <w:color w:val="auto"/>
                      <w:sz w:val="21"/>
                      <w:szCs w:val="21"/>
                      <w:highlight w:val="none"/>
                      <w:lang w:val="en-US" w:eastAsia="zh-CN"/>
                    </w:rPr>
                    <w:t>。</w:t>
                  </w:r>
                </w:p>
              </w:tc>
              <w:tc>
                <w:tcPr>
                  <w:tcW w:w="945"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35" w:type="dxa"/>
                  <w:vMerge w:val="restar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环保工程</w:t>
                  </w:r>
                </w:p>
              </w:tc>
              <w:tc>
                <w:tcPr>
                  <w:tcW w:w="936"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废气治理</w:t>
                  </w:r>
                </w:p>
              </w:tc>
              <w:tc>
                <w:tcPr>
                  <w:tcW w:w="529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1台</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lang w:eastAsia="zh-CN"/>
                    </w:rPr>
                    <w:t>t/h生物质热水锅炉</w:t>
                  </w:r>
                  <w:r>
                    <w:rPr>
                      <w:rFonts w:hint="default" w:ascii="Times New Roman" w:hAnsi="Times New Roman" w:eastAsia="宋体" w:cs="Times New Roman"/>
                      <w:color w:val="auto"/>
                      <w:sz w:val="21"/>
                      <w:szCs w:val="21"/>
                      <w:highlight w:val="none"/>
                      <w:lang w:val="en-US" w:eastAsia="zh-CN"/>
                    </w:rPr>
                    <w:t>和1台</w:t>
                  </w:r>
                  <w:r>
                    <w:rPr>
                      <w:rFonts w:hint="default" w:ascii="Times New Roman" w:hAnsi="Times New Roman" w:eastAsia="宋体" w:cs="Times New Roman"/>
                      <w:b w:val="0"/>
                      <w:bCs w:val="0"/>
                      <w:color w:val="auto"/>
                      <w:sz w:val="21"/>
                      <w:szCs w:val="21"/>
                      <w:highlight w:val="none"/>
                      <w:lang w:val="en-US" w:eastAsia="zh-CN"/>
                    </w:rPr>
                    <w:t>4t/h的燃煤热水锅炉（备用锅炉）</w:t>
                  </w:r>
                  <w:r>
                    <w:rPr>
                      <w:rFonts w:hint="default" w:ascii="Times New Roman" w:hAnsi="Times New Roman" w:eastAsia="宋体" w:cs="Times New Roman"/>
                      <w:color w:val="auto"/>
                      <w:sz w:val="21"/>
                      <w:szCs w:val="21"/>
                      <w:highlight w:val="none"/>
                      <w:lang w:eastAsia="zh-CN"/>
                    </w:rPr>
                    <w:t>产生的废气经</w:t>
                  </w:r>
                  <w:r>
                    <w:rPr>
                      <w:rFonts w:hint="default" w:ascii="Times New Roman" w:hAnsi="Times New Roman" w:eastAsia="宋体" w:cs="Times New Roman"/>
                      <w:color w:val="auto"/>
                      <w:sz w:val="21"/>
                      <w:szCs w:val="21"/>
                      <w:highlight w:val="none"/>
                      <w:lang w:val="en-US" w:eastAsia="zh-CN"/>
                    </w:rPr>
                    <w:t>旋风除尘器+</w:t>
                  </w:r>
                  <w:r>
                    <w:rPr>
                      <w:rFonts w:hint="default" w:ascii="Times New Roman" w:hAnsi="Times New Roman" w:eastAsia="宋体" w:cs="Times New Roman"/>
                      <w:bCs/>
                      <w:color w:val="auto"/>
                      <w:sz w:val="21"/>
                      <w:szCs w:val="21"/>
                      <w:highlight w:val="none"/>
                    </w:rPr>
                    <w:t>布袋除尘器</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双碱法脱硫塔</w:t>
                  </w:r>
                  <w:r>
                    <w:rPr>
                      <w:rFonts w:hint="default" w:ascii="Times New Roman" w:hAnsi="Times New Roman" w:eastAsia="宋体" w:cs="Times New Roman"/>
                      <w:color w:val="auto"/>
                      <w:sz w:val="21"/>
                      <w:szCs w:val="21"/>
                      <w:highlight w:val="none"/>
                      <w:lang w:eastAsia="zh-CN"/>
                    </w:rPr>
                    <w:t>处理后，由1根高</w:t>
                  </w:r>
                  <w:r>
                    <w:rPr>
                      <w:rFonts w:hint="default" w:ascii="Times New Roman" w:hAnsi="Times New Roman" w:eastAsia="宋体" w:cs="Times New Roman"/>
                      <w:color w:val="auto"/>
                      <w:sz w:val="21"/>
                      <w:szCs w:val="21"/>
                      <w:highlight w:val="none"/>
                      <w:lang w:val="en-US" w:eastAsia="zh-CN"/>
                    </w:rPr>
                    <w:t>40</w:t>
                  </w:r>
                  <w:r>
                    <w:rPr>
                      <w:rFonts w:hint="default" w:ascii="Times New Roman" w:hAnsi="Times New Roman" w:eastAsia="宋体" w:cs="Times New Roman"/>
                      <w:color w:val="auto"/>
                      <w:sz w:val="21"/>
                      <w:szCs w:val="21"/>
                      <w:highlight w:val="none"/>
                      <w:lang w:eastAsia="zh-CN"/>
                    </w:rPr>
                    <w:t>m排气筒排放。</w:t>
                  </w:r>
                </w:p>
              </w:tc>
              <w:tc>
                <w:tcPr>
                  <w:tcW w:w="94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新增1台旋风除尘器，依托现有</w:t>
                  </w:r>
                  <w:r>
                    <w:rPr>
                      <w:rFonts w:hint="default" w:ascii="Times New Roman" w:hAnsi="Times New Roman" w:eastAsia="宋体" w:cs="Times New Roman"/>
                      <w:color w:val="auto"/>
                      <w:sz w:val="21"/>
                      <w:szCs w:val="21"/>
                      <w:highlight w:val="none"/>
                      <w:lang w:eastAsia="zh-CN"/>
                    </w:rPr>
                    <w:t>布袋除尘器、双碱法脱硫塔、</w:t>
                  </w:r>
                  <w:r>
                    <w:rPr>
                      <w:rFonts w:hint="default" w:ascii="Times New Roman" w:hAnsi="Times New Roman" w:eastAsia="宋体" w:cs="Times New Roman"/>
                      <w:color w:val="auto"/>
                      <w:sz w:val="21"/>
                      <w:szCs w:val="21"/>
                      <w:highlight w:val="none"/>
                      <w:lang w:val="en-US" w:eastAsia="zh-CN"/>
                    </w:rPr>
                    <w:t>40m排气筒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35" w:type="dxa"/>
                  <w:vMerge w:val="continue"/>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936"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29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灰渣卸载过程中产生的颗粒物经</w:t>
                  </w:r>
                  <w:r>
                    <w:rPr>
                      <w:rFonts w:hint="default" w:ascii="Times New Roman" w:hAnsi="Times New Roman" w:eastAsia="宋体" w:cs="Times New Roman"/>
                      <w:color w:val="auto"/>
                      <w:sz w:val="21"/>
                      <w:szCs w:val="21"/>
                      <w:highlight w:val="none"/>
                      <w:lang w:eastAsia="zh-CN"/>
                    </w:rPr>
                    <w:t>灰渣库</w:t>
                  </w:r>
                  <w:r>
                    <w:rPr>
                      <w:rFonts w:hint="default" w:ascii="Times New Roman" w:hAnsi="Times New Roman" w:eastAsia="宋体" w:cs="Times New Roman"/>
                      <w:color w:val="auto"/>
                      <w:sz w:val="21"/>
                      <w:szCs w:val="21"/>
                      <w:highlight w:val="none"/>
                    </w:rPr>
                    <w:t>沉降后，以无组织形式排放。</w:t>
                  </w:r>
                </w:p>
              </w:tc>
              <w:tc>
                <w:tcPr>
                  <w:tcW w:w="94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35" w:type="dxa"/>
                  <w:vMerge w:val="continue"/>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936" w:type="dxa"/>
                  <w:vMerge w:val="restar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废水治理</w:t>
                  </w:r>
                </w:p>
              </w:tc>
              <w:tc>
                <w:tcPr>
                  <w:tcW w:w="529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软水制备废水和锅炉定期排污水直接用于灰渣库抑尘、厂区空地降尘洒水，不外排。</w:t>
                  </w:r>
                </w:p>
              </w:tc>
              <w:tc>
                <w:tcPr>
                  <w:tcW w:w="94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35" w:type="dxa"/>
                  <w:vMerge w:val="continue"/>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936" w:type="dxa"/>
                  <w:vMerge w:val="continue"/>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29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双碱法脱硫塔</w:t>
                  </w:r>
                  <w:r>
                    <w:rPr>
                      <w:rFonts w:hint="default" w:ascii="Times New Roman" w:hAnsi="Times New Roman" w:eastAsia="宋体" w:cs="Times New Roman"/>
                      <w:color w:val="auto"/>
                      <w:sz w:val="21"/>
                      <w:szCs w:val="21"/>
                      <w:highlight w:val="none"/>
                      <w:lang w:eastAsia="zh-CN"/>
                    </w:rPr>
                    <w:t>底部设置</w:t>
                  </w:r>
                  <w:r>
                    <w:rPr>
                      <w:rFonts w:hint="default" w:ascii="Times New Roman" w:hAnsi="Times New Roman" w:eastAsia="宋体" w:cs="Times New Roman"/>
                      <w:color w:val="auto"/>
                      <w:sz w:val="21"/>
                      <w:szCs w:val="21"/>
                      <w:highlight w:val="none"/>
                      <w:lang w:val="en-US" w:eastAsia="zh-CN"/>
                    </w:rPr>
                    <w:t>1座三级沉淀池，</w:t>
                  </w:r>
                  <w:r>
                    <w:rPr>
                      <w:rFonts w:hint="default" w:ascii="Times New Roman" w:hAnsi="Times New Roman" w:eastAsia="宋体" w:cs="Times New Roman"/>
                      <w:color w:val="auto"/>
                      <w:sz w:val="21"/>
                      <w:szCs w:val="21"/>
                      <w:highlight w:val="none"/>
                      <w:lang w:bidi="ar"/>
                    </w:rPr>
                    <w:t>包括</w:t>
                  </w:r>
                  <w:r>
                    <w:rPr>
                      <w:rFonts w:hint="default" w:ascii="Times New Roman" w:hAnsi="Times New Roman" w:eastAsia="宋体" w:cs="Times New Roman"/>
                      <w:color w:val="auto"/>
                      <w:sz w:val="21"/>
                      <w:szCs w:val="21"/>
                      <w:highlight w:val="none"/>
                      <w:lang w:val="en-US" w:eastAsia="zh-CN" w:bidi="ar"/>
                    </w:rPr>
                    <w:t>2座</w:t>
                  </w:r>
                  <w:r>
                    <w:rPr>
                      <w:rFonts w:hint="default" w:ascii="Times New Roman" w:hAnsi="Times New Roman" w:eastAsia="宋体" w:cs="Times New Roman"/>
                      <w:color w:val="auto"/>
                      <w:sz w:val="21"/>
                      <w:szCs w:val="21"/>
                      <w:highlight w:val="none"/>
                      <w:lang w:bidi="ar"/>
                    </w:rPr>
                    <w:t>沉淀池</w:t>
                  </w:r>
                  <w:r>
                    <w:rPr>
                      <w:rFonts w:hint="default" w:ascii="Times New Roman" w:hAnsi="Times New Roman" w:eastAsia="宋体" w:cs="Times New Roman"/>
                      <w:color w:val="auto"/>
                      <w:sz w:val="21"/>
                      <w:szCs w:val="21"/>
                      <w:highlight w:val="none"/>
                      <w:lang w:eastAsia="zh-CN" w:bidi="ar"/>
                    </w:rPr>
                    <w:t>（</w:t>
                  </w:r>
                  <w:r>
                    <w:rPr>
                      <w:rFonts w:hint="default" w:ascii="Times New Roman" w:hAnsi="Times New Roman" w:eastAsia="宋体" w:cs="Times New Roman"/>
                      <w:color w:val="auto"/>
                      <w:sz w:val="21"/>
                      <w:szCs w:val="21"/>
                      <w:highlight w:val="none"/>
                      <w:lang w:bidi="ar"/>
                    </w:rPr>
                    <w:t>总容积12m</w:t>
                  </w:r>
                  <w:r>
                    <w:rPr>
                      <w:rFonts w:hint="default" w:ascii="Times New Roman" w:hAnsi="Times New Roman" w:eastAsia="宋体" w:cs="Times New Roman"/>
                      <w:color w:val="auto"/>
                      <w:sz w:val="21"/>
                      <w:szCs w:val="21"/>
                      <w:highlight w:val="none"/>
                      <w:vertAlign w:val="superscript"/>
                      <w:lang w:bidi="ar"/>
                    </w:rPr>
                    <w:t>3</w:t>
                  </w:r>
                  <w:r>
                    <w:rPr>
                      <w:rFonts w:hint="default" w:ascii="Times New Roman" w:hAnsi="Times New Roman" w:eastAsia="宋体" w:cs="Times New Roman"/>
                      <w:color w:val="auto"/>
                      <w:sz w:val="21"/>
                      <w:szCs w:val="21"/>
                      <w:highlight w:val="none"/>
                      <w:lang w:bidi="ar"/>
                    </w:rPr>
                    <w:t>）和</w:t>
                  </w:r>
                  <w:r>
                    <w:rPr>
                      <w:rFonts w:hint="default" w:ascii="Times New Roman" w:hAnsi="Times New Roman" w:eastAsia="宋体" w:cs="Times New Roman"/>
                      <w:color w:val="auto"/>
                      <w:sz w:val="21"/>
                      <w:szCs w:val="21"/>
                      <w:highlight w:val="none"/>
                      <w:lang w:val="en-US" w:eastAsia="zh-CN" w:bidi="ar"/>
                    </w:rPr>
                    <w:t>1座</w:t>
                  </w:r>
                  <w:r>
                    <w:rPr>
                      <w:rFonts w:hint="default" w:ascii="Times New Roman" w:hAnsi="Times New Roman" w:eastAsia="宋体" w:cs="Times New Roman"/>
                      <w:color w:val="auto"/>
                      <w:sz w:val="21"/>
                      <w:szCs w:val="21"/>
                      <w:highlight w:val="none"/>
                      <w:lang w:bidi="ar"/>
                    </w:rPr>
                    <w:t>清水池</w:t>
                  </w:r>
                  <w:r>
                    <w:rPr>
                      <w:rFonts w:hint="default" w:ascii="Times New Roman" w:hAnsi="Times New Roman" w:eastAsia="宋体" w:cs="Times New Roman"/>
                      <w:color w:val="auto"/>
                      <w:sz w:val="21"/>
                      <w:szCs w:val="21"/>
                      <w:highlight w:val="none"/>
                      <w:lang w:eastAsia="zh-CN" w:bidi="ar"/>
                    </w:rPr>
                    <w:t>（</w:t>
                  </w:r>
                  <w:r>
                    <w:rPr>
                      <w:rFonts w:hint="default" w:ascii="Times New Roman" w:hAnsi="Times New Roman" w:eastAsia="宋体" w:cs="Times New Roman"/>
                      <w:color w:val="auto"/>
                      <w:sz w:val="21"/>
                      <w:szCs w:val="21"/>
                      <w:highlight w:val="none"/>
                      <w:lang w:bidi="ar"/>
                    </w:rPr>
                    <w:t>容积3m</w:t>
                  </w:r>
                  <w:r>
                    <w:rPr>
                      <w:rFonts w:hint="default" w:ascii="Times New Roman" w:hAnsi="Times New Roman" w:eastAsia="宋体" w:cs="Times New Roman"/>
                      <w:color w:val="auto"/>
                      <w:sz w:val="21"/>
                      <w:szCs w:val="21"/>
                      <w:highlight w:val="none"/>
                      <w:vertAlign w:val="superscript"/>
                      <w:lang w:bidi="ar"/>
                    </w:rPr>
                    <w:t>3</w:t>
                  </w:r>
                  <w:r>
                    <w:rPr>
                      <w:rFonts w:hint="default" w:ascii="Times New Roman" w:hAnsi="Times New Roman" w:eastAsia="宋体" w:cs="Times New Roman"/>
                      <w:color w:val="auto"/>
                      <w:sz w:val="21"/>
                      <w:szCs w:val="21"/>
                      <w:highlight w:val="none"/>
                      <w:lang w:bidi="ar"/>
                    </w:rPr>
                    <w:t>）</w:t>
                  </w:r>
                  <w:r>
                    <w:rPr>
                      <w:rFonts w:hint="default" w:ascii="Times New Roman" w:hAnsi="Times New Roman" w:eastAsia="宋体" w:cs="Times New Roman"/>
                      <w:color w:val="auto"/>
                      <w:sz w:val="21"/>
                      <w:szCs w:val="21"/>
                      <w:highlight w:val="none"/>
                      <w:lang w:eastAsia="zh-CN" w:bidi="ar"/>
                    </w:rPr>
                    <w:t>，</w:t>
                  </w:r>
                  <w:r>
                    <w:rPr>
                      <w:rFonts w:hint="default" w:ascii="Times New Roman" w:hAnsi="Times New Roman" w:eastAsia="宋体" w:cs="Times New Roman"/>
                      <w:color w:val="auto"/>
                      <w:sz w:val="21"/>
                      <w:szCs w:val="21"/>
                      <w:highlight w:val="none"/>
                      <w:lang w:eastAsia="zh-CN"/>
                    </w:rPr>
                    <w:t>脱硫塔内脱硫废水</w:t>
                  </w:r>
                  <w:r>
                    <w:rPr>
                      <w:rFonts w:hint="default" w:ascii="Times New Roman" w:hAnsi="Times New Roman" w:eastAsia="宋体" w:cs="Times New Roman"/>
                      <w:color w:val="auto"/>
                      <w:sz w:val="21"/>
                      <w:szCs w:val="21"/>
                      <w:highlight w:val="none"/>
                      <w:lang w:val="en-US" w:eastAsia="zh-CN"/>
                    </w:rPr>
                    <w:t>经沉淀后</w:t>
                  </w:r>
                  <w:r>
                    <w:rPr>
                      <w:rFonts w:hint="default" w:ascii="Times New Roman" w:hAnsi="Times New Roman" w:eastAsia="宋体" w:cs="Times New Roman"/>
                      <w:color w:val="auto"/>
                      <w:sz w:val="21"/>
                      <w:szCs w:val="21"/>
                      <w:highlight w:val="none"/>
                    </w:rPr>
                    <w:t>循环使用，不外排</w:t>
                  </w:r>
                  <w:r>
                    <w:rPr>
                      <w:rFonts w:hint="default" w:ascii="Times New Roman" w:hAnsi="Times New Roman" w:eastAsia="宋体" w:cs="Times New Roman"/>
                      <w:color w:val="auto"/>
                      <w:sz w:val="21"/>
                      <w:szCs w:val="21"/>
                      <w:highlight w:val="none"/>
                      <w:lang w:eastAsia="zh-CN"/>
                    </w:rPr>
                    <w:t>。</w:t>
                  </w:r>
                </w:p>
              </w:tc>
              <w:tc>
                <w:tcPr>
                  <w:tcW w:w="94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35" w:type="dxa"/>
                  <w:vMerge w:val="continue"/>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936" w:type="dxa"/>
                  <w:vMerge w:val="restar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固废治理</w:t>
                  </w:r>
                </w:p>
              </w:tc>
              <w:tc>
                <w:tcPr>
                  <w:tcW w:w="529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生物质热水锅炉产生的炉渣、旋风除尘器+布袋除尘器收集的除尘灰，暂存于灰渣库内，定期作为有机肥料还田。</w:t>
                  </w:r>
                </w:p>
              </w:tc>
              <w:tc>
                <w:tcPr>
                  <w:tcW w:w="94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color w:val="auto"/>
                      <w:sz w:val="21"/>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35" w:type="dxa"/>
                  <w:vMerge w:val="continue"/>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936" w:type="dxa"/>
                  <w:vMerge w:val="continue"/>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29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双碱法脱硫塔产生的脱硫石膏，</w:t>
                  </w:r>
                  <w:r>
                    <w:rPr>
                      <w:rFonts w:hint="default" w:ascii="Times New Roman" w:hAnsi="Times New Roman" w:eastAsia="宋体" w:cs="Times New Roman"/>
                      <w:color w:val="auto"/>
                      <w:sz w:val="21"/>
                      <w:szCs w:val="21"/>
                      <w:highlight w:val="none"/>
                      <w:lang w:eastAsia="zh-CN"/>
                    </w:rPr>
                    <w:t>暂存于灰渣库内，定期</w:t>
                  </w:r>
                  <w:r>
                    <w:rPr>
                      <w:rFonts w:hint="default" w:ascii="Times New Roman" w:hAnsi="Times New Roman" w:eastAsia="宋体" w:cs="Times New Roman"/>
                      <w:color w:val="auto"/>
                      <w:sz w:val="21"/>
                      <w:szCs w:val="21"/>
                      <w:highlight w:val="none"/>
                      <w:lang w:val="en-US" w:eastAsia="zh-CN"/>
                    </w:rPr>
                    <w:t>作为建筑材料外售综合利用</w:t>
                  </w:r>
                  <w:r>
                    <w:rPr>
                      <w:rFonts w:hint="default" w:ascii="Times New Roman" w:hAnsi="Times New Roman" w:eastAsia="宋体" w:cs="Times New Roman"/>
                      <w:color w:val="auto"/>
                      <w:sz w:val="21"/>
                      <w:szCs w:val="21"/>
                      <w:highlight w:val="none"/>
                      <w:lang w:eastAsia="zh-CN"/>
                    </w:rPr>
                    <w:t>。</w:t>
                  </w:r>
                </w:p>
              </w:tc>
              <w:tc>
                <w:tcPr>
                  <w:tcW w:w="94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35" w:type="dxa"/>
                  <w:vMerge w:val="continue"/>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936" w:type="dxa"/>
                  <w:vMerge w:val="continue"/>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29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软水制备装置产生的</w:t>
                  </w:r>
                  <w:r>
                    <w:rPr>
                      <w:rFonts w:hint="default" w:ascii="Times New Roman" w:hAnsi="Times New Roman" w:eastAsia="宋体" w:cs="Times New Roman"/>
                      <w:color w:val="auto"/>
                      <w:sz w:val="21"/>
                      <w:szCs w:val="21"/>
                      <w:highlight w:val="none"/>
                      <w:lang w:eastAsia="zh-CN"/>
                    </w:rPr>
                    <w:t>废反渗透介质</w:t>
                  </w:r>
                  <w:r>
                    <w:rPr>
                      <w:rFonts w:hint="default" w:ascii="Times New Roman" w:hAnsi="Times New Roman" w:eastAsia="宋体" w:cs="Times New Roman"/>
                      <w:color w:val="auto"/>
                      <w:sz w:val="21"/>
                      <w:szCs w:val="21"/>
                      <w:highlight w:val="none"/>
                    </w:rPr>
                    <w:t>定期更换，由销售厂家直接回收，不在厂区内储存</w:t>
                  </w:r>
                  <w:r>
                    <w:rPr>
                      <w:rFonts w:hint="default" w:ascii="Times New Roman" w:hAnsi="Times New Roman" w:eastAsia="宋体" w:cs="Times New Roman"/>
                      <w:color w:val="auto"/>
                      <w:sz w:val="21"/>
                      <w:szCs w:val="21"/>
                      <w:highlight w:val="none"/>
                      <w:lang w:eastAsia="zh-CN"/>
                    </w:rPr>
                    <w:t>。</w:t>
                  </w:r>
                </w:p>
              </w:tc>
              <w:tc>
                <w:tcPr>
                  <w:tcW w:w="94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35" w:type="dxa"/>
                  <w:vMerge w:val="continue"/>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936"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噪声治理</w:t>
                  </w:r>
                </w:p>
              </w:tc>
              <w:tc>
                <w:tcPr>
                  <w:tcW w:w="529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基础减震、厂房隔声。</w:t>
                  </w:r>
                </w:p>
              </w:tc>
              <w:tc>
                <w:tcPr>
                  <w:tcW w:w="945"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color w:val="auto"/>
                      <w:sz w:val="21"/>
                      <w:szCs w:val="21"/>
                      <w:highlight w:val="none"/>
                    </w:rPr>
                    <w:t>新建</w:t>
                  </w:r>
                </w:p>
              </w:tc>
            </w:tr>
          </w:tbl>
          <w:p>
            <w:pPr>
              <w:spacing w:line="360" w:lineRule="auto"/>
              <w:ind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2.2</w:t>
            </w:r>
            <w:r>
              <w:rPr>
                <w:rFonts w:hint="default" w:ascii="Times New Roman" w:hAnsi="Times New Roman" w:eastAsia="宋体" w:cs="Times New Roman"/>
                <w:b/>
                <w:bCs/>
                <w:color w:val="auto"/>
                <w:sz w:val="24"/>
                <w:highlight w:val="none"/>
              </w:rPr>
              <w:t>主要设备</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改建项目</w:t>
            </w:r>
            <w:r>
              <w:rPr>
                <w:rFonts w:hint="default" w:ascii="Times New Roman" w:hAnsi="Times New Roman" w:eastAsia="宋体" w:cs="Times New Roman"/>
                <w:color w:val="auto"/>
                <w:sz w:val="24"/>
                <w:highlight w:val="none"/>
              </w:rPr>
              <w:t>主要设备表见表2-</w:t>
            </w:r>
            <w:r>
              <w:rPr>
                <w:rFonts w:hint="default"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rPr>
              <w:t>。</w:t>
            </w:r>
          </w:p>
          <w:p>
            <w:pPr>
              <w:spacing w:line="360" w:lineRule="auto"/>
              <w:ind w:firstLine="482" w:firstLineChars="20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表2-</w:t>
            </w:r>
            <w:r>
              <w:rPr>
                <w:rFonts w:hint="default" w:ascii="Times New Roman" w:hAnsi="Times New Roman" w:eastAsia="宋体" w:cs="Times New Roman"/>
                <w:b/>
                <w:bCs/>
                <w:color w:val="auto"/>
                <w:sz w:val="24"/>
                <w:highlight w:val="none"/>
                <w:lang w:val="en-US" w:eastAsia="zh-CN"/>
              </w:rPr>
              <w:t xml:space="preserve">5  </w:t>
            </w:r>
            <w:r>
              <w:rPr>
                <w:rFonts w:hint="default" w:ascii="Times New Roman" w:hAnsi="Times New Roman" w:eastAsia="宋体" w:cs="Times New Roman"/>
                <w:b/>
                <w:bCs/>
                <w:color w:val="auto"/>
                <w:sz w:val="24"/>
                <w:highlight w:val="none"/>
                <w:lang w:eastAsia="zh-CN"/>
              </w:rPr>
              <w:t>改建项目</w:t>
            </w:r>
            <w:r>
              <w:rPr>
                <w:rFonts w:hint="default" w:ascii="Times New Roman" w:hAnsi="Times New Roman" w:eastAsia="宋体" w:cs="Times New Roman"/>
                <w:b/>
                <w:bCs/>
                <w:color w:val="auto"/>
                <w:sz w:val="24"/>
                <w:highlight w:val="none"/>
              </w:rPr>
              <w:t>主要设备</w:t>
            </w:r>
          </w:p>
          <w:tbl>
            <w:tblPr>
              <w:tblStyle w:val="19"/>
              <w:tblW w:w="8107" w:type="dxa"/>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654"/>
              <w:gridCol w:w="2024"/>
              <w:gridCol w:w="2025"/>
              <w:gridCol w:w="1049"/>
              <w:gridCol w:w="1049"/>
              <w:gridCol w:w="1306"/>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54" w:type="dxa"/>
                  <w:tcBorders>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color w:val="auto"/>
                      <w:kern w:val="0"/>
                      <w:sz w:val="21"/>
                      <w:szCs w:val="21"/>
                      <w:highlight w:val="none"/>
                      <w:lang w:bidi="ar"/>
                    </w:rPr>
                  </w:pPr>
                  <w:r>
                    <w:rPr>
                      <w:rFonts w:hint="default" w:ascii="Times New Roman" w:hAnsi="Times New Roman" w:eastAsia="宋体" w:cs="Times New Roman"/>
                      <w:b/>
                      <w:color w:val="auto"/>
                      <w:kern w:val="0"/>
                      <w:sz w:val="21"/>
                      <w:szCs w:val="21"/>
                      <w:highlight w:val="none"/>
                      <w:lang w:bidi="ar"/>
                    </w:rPr>
                    <w:t>序号</w:t>
                  </w:r>
                </w:p>
              </w:tc>
              <w:tc>
                <w:tcPr>
                  <w:tcW w:w="2024"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color w:val="auto"/>
                      <w:kern w:val="0"/>
                      <w:sz w:val="21"/>
                      <w:szCs w:val="21"/>
                      <w:highlight w:val="none"/>
                      <w:lang w:bidi="ar"/>
                    </w:rPr>
                  </w:pPr>
                  <w:r>
                    <w:rPr>
                      <w:rFonts w:hint="default" w:ascii="Times New Roman" w:hAnsi="Times New Roman" w:eastAsia="宋体" w:cs="Times New Roman"/>
                      <w:b/>
                      <w:color w:val="auto"/>
                      <w:kern w:val="0"/>
                      <w:sz w:val="21"/>
                      <w:szCs w:val="21"/>
                      <w:highlight w:val="none"/>
                      <w:lang w:bidi="ar"/>
                    </w:rPr>
                    <w:t>设备名称</w:t>
                  </w:r>
                </w:p>
              </w:tc>
              <w:tc>
                <w:tcPr>
                  <w:tcW w:w="2025"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color w:val="auto"/>
                      <w:kern w:val="0"/>
                      <w:sz w:val="21"/>
                      <w:szCs w:val="21"/>
                      <w:highlight w:val="none"/>
                      <w:lang w:bidi="ar"/>
                    </w:rPr>
                  </w:pPr>
                  <w:r>
                    <w:rPr>
                      <w:rFonts w:hint="default" w:ascii="Times New Roman" w:hAnsi="Times New Roman" w:eastAsia="宋体" w:cs="Times New Roman"/>
                      <w:b/>
                      <w:color w:val="auto"/>
                      <w:kern w:val="0"/>
                      <w:sz w:val="21"/>
                      <w:szCs w:val="21"/>
                      <w:highlight w:val="none"/>
                      <w:lang w:bidi="ar"/>
                    </w:rPr>
                    <w:t>规格型号</w:t>
                  </w:r>
                </w:p>
              </w:tc>
              <w:tc>
                <w:tcPr>
                  <w:tcW w:w="1049"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color w:val="auto"/>
                      <w:kern w:val="0"/>
                      <w:sz w:val="21"/>
                      <w:szCs w:val="21"/>
                      <w:highlight w:val="none"/>
                      <w:lang w:bidi="ar"/>
                    </w:rPr>
                  </w:pPr>
                  <w:r>
                    <w:rPr>
                      <w:rFonts w:hint="default" w:ascii="Times New Roman" w:hAnsi="Times New Roman" w:eastAsia="宋体" w:cs="Times New Roman"/>
                      <w:b/>
                      <w:color w:val="auto"/>
                      <w:kern w:val="0"/>
                      <w:sz w:val="21"/>
                      <w:szCs w:val="21"/>
                      <w:highlight w:val="none"/>
                      <w:lang w:bidi="ar"/>
                    </w:rPr>
                    <w:t>单位</w:t>
                  </w:r>
                </w:p>
              </w:tc>
              <w:tc>
                <w:tcPr>
                  <w:tcW w:w="1049" w:type="dxa"/>
                  <w:tcBorders>
                    <w:left w:val="single" w:color="auto" w:sz="2" w:space="0"/>
                    <w:bottom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color w:val="auto"/>
                      <w:kern w:val="0"/>
                      <w:sz w:val="21"/>
                      <w:szCs w:val="21"/>
                      <w:highlight w:val="none"/>
                      <w:lang w:bidi="ar"/>
                    </w:rPr>
                  </w:pPr>
                  <w:r>
                    <w:rPr>
                      <w:rFonts w:hint="default" w:ascii="Times New Roman" w:hAnsi="Times New Roman" w:eastAsia="宋体" w:cs="Times New Roman"/>
                      <w:b/>
                      <w:color w:val="auto"/>
                      <w:kern w:val="0"/>
                      <w:sz w:val="21"/>
                      <w:szCs w:val="21"/>
                      <w:highlight w:val="none"/>
                      <w:lang w:bidi="ar"/>
                    </w:rPr>
                    <w:t>数量</w:t>
                  </w:r>
                </w:p>
              </w:tc>
              <w:tc>
                <w:tcPr>
                  <w:tcW w:w="1306" w:type="dxa"/>
                  <w:tcBorders>
                    <w:left w:val="single" w:color="auto" w:sz="2" w:space="0"/>
                    <w:bottom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color w:val="auto"/>
                      <w:kern w:val="0"/>
                      <w:sz w:val="21"/>
                      <w:szCs w:val="21"/>
                      <w:highlight w:val="none"/>
                      <w:lang w:eastAsia="zh-CN" w:bidi="ar"/>
                    </w:rPr>
                  </w:pPr>
                  <w:r>
                    <w:rPr>
                      <w:rFonts w:hint="default" w:ascii="Times New Roman" w:hAnsi="Times New Roman" w:eastAsia="宋体" w:cs="Times New Roman"/>
                      <w:b/>
                      <w:color w:val="auto"/>
                      <w:kern w:val="0"/>
                      <w:sz w:val="21"/>
                      <w:szCs w:val="21"/>
                      <w:highlight w:val="none"/>
                      <w:lang w:eastAsia="zh-CN" w:bidi="ar"/>
                    </w:rPr>
                    <w:t>备注</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54" w:type="dxa"/>
                  <w:tcBorders>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1</w:t>
                  </w:r>
                </w:p>
              </w:tc>
              <w:tc>
                <w:tcPr>
                  <w:tcW w:w="2024"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eastAsia="zh-CN" w:bidi="ar"/>
                    </w:rPr>
                    <w:t>生物质热水锅炉</w:t>
                  </w:r>
                </w:p>
              </w:tc>
              <w:tc>
                <w:tcPr>
                  <w:tcW w:w="2025"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10t/h</w:t>
                  </w:r>
                </w:p>
              </w:tc>
              <w:tc>
                <w:tcPr>
                  <w:tcW w:w="1049"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台</w:t>
                  </w:r>
                </w:p>
              </w:tc>
              <w:tc>
                <w:tcPr>
                  <w:tcW w:w="1049" w:type="dxa"/>
                  <w:tcBorders>
                    <w:left w:val="single" w:color="auto" w:sz="2" w:space="0"/>
                    <w:bottom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bidi="ar"/>
                    </w:rPr>
                    <w:t>1</w:t>
                  </w:r>
                </w:p>
              </w:tc>
              <w:tc>
                <w:tcPr>
                  <w:tcW w:w="1306" w:type="dxa"/>
                  <w:tcBorders>
                    <w:left w:val="single" w:color="auto" w:sz="2" w:space="0"/>
                    <w:bottom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b/>
                      <w:bCs/>
                      <w:color w:val="auto"/>
                      <w:kern w:val="0"/>
                      <w:sz w:val="21"/>
                      <w:szCs w:val="21"/>
                      <w:highlight w:val="none"/>
                      <w:lang w:eastAsia="zh-CN" w:bidi="ar"/>
                    </w:rPr>
                    <w:t>新增</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54" w:type="dxa"/>
                  <w:tcBorders>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2</w:t>
                  </w:r>
                </w:p>
              </w:tc>
              <w:tc>
                <w:tcPr>
                  <w:tcW w:w="2024"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eastAsia="zh-CN" w:bidi="ar"/>
                    </w:rPr>
                    <w:t>燃煤热水锅炉</w:t>
                  </w:r>
                </w:p>
              </w:tc>
              <w:tc>
                <w:tcPr>
                  <w:tcW w:w="2025"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4t/h</w:t>
                  </w:r>
                </w:p>
              </w:tc>
              <w:tc>
                <w:tcPr>
                  <w:tcW w:w="1049"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台</w:t>
                  </w:r>
                </w:p>
              </w:tc>
              <w:tc>
                <w:tcPr>
                  <w:tcW w:w="1049" w:type="dxa"/>
                  <w:tcBorders>
                    <w:left w:val="single" w:color="auto" w:sz="2" w:space="0"/>
                    <w:bottom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1</w:t>
                  </w:r>
                </w:p>
              </w:tc>
              <w:tc>
                <w:tcPr>
                  <w:tcW w:w="1306" w:type="dxa"/>
                  <w:tcBorders>
                    <w:left w:val="single" w:color="auto" w:sz="2" w:space="0"/>
                    <w:bottom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color w:val="auto"/>
                      <w:kern w:val="0"/>
                      <w:sz w:val="21"/>
                      <w:szCs w:val="21"/>
                      <w:highlight w:val="none"/>
                      <w:lang w:eastAsia="zh-CN" w:bidi="ar"/>
                    </w:rPr>
                  </w:pPr>
                  <w:r>
                    <w:rPr>
                      <w:rFonts w:hint="default" w:ascii="Times New Roman" w:hAnsi="Times New Roman" w:eastAsia="宋体" w:cs="Times New Roman"/>
                      <w:b/>
                      <w:bCs/>
                      <w:color w:val="auto"/>
                      <w:kern w:val="0"/>
                      <w:sz w:val="21"/>
                      <w:szCs w:val="21"/>
                      <w:highlight w:val="none"/>
                      <w:lang w:eastAsia="zh-CN" w:bidi="ar"/>
                    </w:rPr>
                    <w:t>现有（备用）</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54" w:type="dxa"/>
                  <w:tcBorders>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3</w:t>
                  </w:r>
                </w:p>
              </w:tc>
              <w:tc>
                <w:tcPr>
                  <w:tcW w:w="2024"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引风机</w:t>
                  </w:r>
                </w:p>
              </w:tc>
              <w:tc>
                <w:tcPr>
                  <w:tcW w:w="2025"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75KW</w:t>
                  </w:r>
                </w:p>
              </w:tc>
              <w:tc>
                <w:tcPr>
                  <w:tcW w:w="1049"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台</w:t>
                  </w:r>
                </w:p>
              </w:tc>
              <w:tc>
                <w:tcPr>
                  <w:tcW w:w="1049" w:type="dxa"/>
                  <w:tcBorders>
                    <w:left w:val="single" w:color="auto" w:sz="2" w:space="0"/>
                    <w:bottom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bidi="ar"/>
                    </w:rPr>
                    <w:t>1</w:t>
                  </w:r>
                </w:p>
              </w:tc>
              <w:tc>
                <w:tcPr>
                  <w:tcW w:w="1306" w:type="dxa"/>
                  <w:tcBorders>
                    <w:left w:val="single" w:color="auto" w:sz="2" w:space="0"/>
                    <w:bottom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b/>
                      <w:bCs/>
                      <w:color w:val="auto"/>
                      <w:kern w:val="0"/>
                      <w:sz w:val="21"/>
                      <w:szCs w:val="21"/>
                      <w:highlight w:val="none"/>
                      <w:lang w:eastAsia="zh-CN" w:bidi="ar"/>
                    </w:rPr>
                    <w:t>新增</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54" w:type="dxa"/>
                  <w:tcBorders>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4</w:t>
                  </w:r>
                </w:p>
              </w:tc>
              <w:tc>
                <w:tcPr>
                  <w:tcW w:w="2024"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鼓风机</w:t>
                  </w:r>
                </w:p>
              </w:tc>
              <w:tc>
                <w:tcPr>
                  <w:tcW w:w="2025"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18.5KW</w:t>
                  </w:r>
                </w:p>
              </w:tc>
              <w:tc>
                <w:tcPr>
                  <w:tcW w:w="1049"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台</w:t>
                  </w:r>
                </w:p>
              </w:tc>
              <w:tc>
                <w:tcPr>
                  <w:tcW w:w="1049" w:type="dxa"/>
                  <w:tcBorders>
                    <w:left w:val="single" w:color="auto" w:sz="2" w:space="0"/>
                    <w:bottom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bidi="ar"/>
                    </w:rPr>
                    <w:t>1</w:t>
                  </w:r>
                </w:p>
              </w:tc>
              <w:tc>
                <w:tcPr>
                  <w:tcW w:w="1306" w:type="dxa"/>
                  <w:tcBorders>
                    <w:left w:val="single" w:color="auto" w:sz="2" w:space="0"/>
                    <w:bottom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b/>
                      <w:bCs/>
                      <w:color w:val="auto"/>
                      <w:kern w:val="0"/>
                      <w:sz w:val="21"/>
                      <w:szCs w:val="21"/>
                      <w:highlight w:val="none"/>
                      <w:lang w:eastAsia="zh-CN" w:bidi="ar"/>
                    </w:rPr>
                    <w:t>新增</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54" w:type="dxa"/>
                  <w:tcBorders>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5</w:t>
                  </w:r>
                </w:p>
              </w:tc>
              <w:tc>
                <w:tcPr>
                  <w:tcW w:w="2024"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生物质给料斗</w:t>
                  </w:r>
                </w:p>
              </w:tc>
              <w:tc>
                <w:tcPr>
                  <w:tcW w:w="2025"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锅炉配套</w:t>
                  </w:r>
                </w:p>
              </w:tc>
              <w:tc>
                <w:tcPr>
                  <w:tcW w:w="1049"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台</w:t>
                  </w:r>
                </w:p>
              </w:tc>
              <w:tc>
                <w:tcPr>
                  <w:tcW w:w="1049" w:type="dxa"/>
                  <w:tcBorders>
                    <w:left w:val="single" w:color="auto" w:sz="2" w:space="0"/>
                    <w:bottom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bidi="ar"/>
                    </w:rPr>
                    <w:t>1</w:t>
                  </w:r>
                </w:p>
              </w:tc>
              <w:tc>
                <w:tcPr>
                  <w:tcW w:w="1306" w:type="dxa"/>
                  <w:tcBorders>
                    <w:left w:val="single" w:color="auto" w:sz="2" w:space="0"/>
                    <w:bottom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b/>
                      <w:bCs/>
                      <w:color w:val="auto"/>
                      <w:kern w:val="0"/>
                      <w:sz w:val="21"/>
                      <w:szCs w:val="21"/>
                      <w:highlight w:val="none"/>
                      <w:lang w:eastAsia="zh-CN" w:bidi="ar"/>
                    </w:rPr>
                    <w:t>新增</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54" w:type="dxa"/>
                  <w:tcBorders>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6</w:t>
                  </w:r>
                </w:p>
              </w:tc>
              <w:tc>
                <w:tcPr>
                  <w:tcW w:w="2024"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eastAsia="zh-CN" w:bidi="ar"/>
                    </w:rPr>
                    <w:t>软水制备装置</w:t>
                  </w:r>
                </w:p>
              </w:tc>
              <w:tc>
                <w:tcPr>
                  <w:tcW w:w="2025"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10</w:t>
                  </w:r>
                  <w:r>
                    <w:rPr>
                      <w:rFonts w:hint="default" w:ascii="Times New Roman" w:hAnsi="Times New Roman" w:eastAsia="宋体" w:cs="Times New Roman"/>
                      <w:color w:val="auto"/>
                      <w:kern w:val="0"/>
                      <w:sz w:val="21"/>
                      <w:szCs w:val="21"/>
                      <w:highlight w:val="none"/>
                      <w:lang w:eastAsia="zh-CN" w:bidi="ar"/>
                    </w:rPr>
                    <w:t>t/h</w:t>
                  </w:r>
                </w:p>
              </w:tc>
              <w:tc>
                <w:tcPr>
                  <w:tcW w:w="1049"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套</w:t>
                  </w:r>
                </w:p>
              </w:tc>
              <w:tc>
                <w:tcPr>
                  <w:tcW w:w="1049" w:type="dxa"/>
                  <w:tcBorders>
                    <w:left w:val="single" w:color="auto" w:sz="2" w:space="0"/>
                    <w:bottom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1</w:t>
                  </w:r>
                </w:p>
              </w:tc>
              <w:tc>
                <w:tcPr>
                  <w:tcW w:w="1306" w:type="dxa"/>
                  <w:tcBorders>
                    <w:left w:val="single" w:color="auto" w:sz="2" w:space="0"/>
                    <w:bottom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eastAsia="zh-CN" w:bidi="ar"/>
                    </w:rPr>
                    <w:t>新增</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54" w:type="dxa"/>
                  <w:tcBorders>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7</w:t>
                  </w:r>
                </w:p>
              </w:tc>
              <w:tc>
                <w:tcPr>
                  <w:tcW w:w="2024"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循环水泵</w:t>
                  </w:r>
                </w:p>
              </w:tc>
              <w:tc>
                <w:tcPr>
                  <w:tcW w:w="2025"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55KW</w:t>
                  </w:r>
                </w:p>
              </w:tc>
              <w:tc>
                <w:tcPr>
                  <w:tcW w:w="1049"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台</w:t>
                  </w:r>
                </w:p>
              </w:tc>
              <w:tc>
                <w:tcPr>
                  <w:tcW w:w="1049" w:type="dxa"/>
                  <w:tcBorders>
                    <w:left w:val="single" w:color="auto" w:sz="2" w:space="0"/>
                    <w:bottom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2</w:t>
                  </w:r>
                </w:p>
              </w:tc>
              <w:tc>
                <w:tcPr>
                  <w:tcW w:w="1306" w:type="dxa"/>
                  <w:tcBorders>
                    <w:left w:val="single" w:color="auto" w:sz="2" w:space="0"/>
                    <w:bottom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eastAsia="zh-CN" w:bidi="ar"/>
                    </w:rPr>
                    <w:t>现有</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54" w:type="dxa"/>
                  <w:tcBorders>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8</w:t>
                  </w:r>
                </w:p>
              </w:tc>
              <w:tc>
                <w:tcPr>
                  <w:tcW w:w="2024"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旋风除尘器</w:t>
                  </w:r>
                </w:p>
              </w:tc>
              <w:tc>
                <w:tcPr>
                  <w:tcW w:w="2025"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锅炉配套　</w:t>
                  </w:r>
                </w:p>
              </w:tc>
              <w:tc>
                <w:tcPr>
                  <w:tcW w:w="1049"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台</w:t>
                  </w:r>
                </w:p>
              </w:tc>
              <w:tc>
                <w:tcPr>
                  <w:tcW w:w="1049" w:type="dxa"/>
                  <w:tcBorders>
                    <w:left w:val="single" w:color="auto" w:sz="2" w:space="0"/>
                    <w:bottom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1</w:t>
                  </w:r>
                </w:p>
              </w:tc>
              <w:tc>
                <w:tcPr>
                  <w:tcW w:w="1306" w:type="dxa"/>
                  <w:tcBorders>
                    <w:left w:val="single" w:color="auto" w:sz="2" w:space="0"/>
                    <w:bottom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eastAsia="zh-CN" w:bidi="ar"/>
                    </w:rPr>
                    <w:t>新增</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54" w:type="dxa"/>
                  <w:tcBorders>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9</w:t>
                  </w:r>
                </w:p>
              </w:tc>
              <w:tc>
                <w:tcPr>
                  <w:tcW w:w="2024"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布袋除尘器</w:t>
                  </w:r>
                </w:p>
              </w:tc>
              <w:tc>
                <w:tcPr>
                  <w:tcW w:w="2025"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锅炉配套　</w:t>
                  </w:r>
                </w:p>
              </w:tc>
              <w:tc>
                <w:tcPr>
                  <w:tcW w:w="1049"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台</w:t>
                  </w:r>
                </w:p>
              </w:tc>
              <w:tc>
                <w:tcPr>
                  <w:tcW w:w="1049" w:type="dxa"/>
                  <w:tcBorders>
                    <w:left w:val="single" w:color="auto" w:sz="2" w:space="0"/>
                    <w:bottom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1</w:t>
                  </w:r>
                </w:p>
              </w:tc>
              <w:tc>
                <w:tcPr>
                  <w:tcW w:w="1306" w:type="dxa"/>
                  <w:tcBorders>
                    <w:left w:val="single" w:color="auto" w:sz="2" w:space="0"/>
                    <w:bottom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eastAsia="zh-CN" w:bidi="ar"/>
                    </w:rPr>
                    <w:t>现有</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54" w:type="dxa"/>
                  <w:tcBorders>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10</w:t>
                  </w:r>
                </w:p>
              </w:tc>
              <w:tc>
                <w:tcPr>
                  <w:tcW w:w="2024"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eastAsia="zh-CN"/>
                    </w:rPr>
                    <w:t>双碱法脱硫塔</w:t>
                  </w:r>
                </w:p>
              </w:tc>
              <w:tc>
                <w:tcPr>
                  <w:tcW w:w="2025"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锅炉配套　</w:t>
                  </w:r>
                </w:p>
              </w:tc>
              <w:tc>
                <w:tcPr>
                  <w:tcW w:w="1049"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台</w:t>
                  </w:r>
                </w:p>
              </w:tc>
              <w:tc>
                <w:tcPr>
                  <w:tcW w:w="1049" w:type="dxa"/>
                  <w:tcBorders>
                    <w:left w:val="single" w:color="auto" w:sz="2" w:space="0"/>
                    <w:bottom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1</w:t>
                  </w:r>
                </w:p>
              </w:tc>
              <w:tc>
                <w:tcPr>
                  <w:tcW w:w="1306" w:type="dxa"/>
                  <w:tcBorders>
                    <w:left w:val="single" w:color="auto" w:sz="2" w:space="0"/>
                    <w:bottom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eastAsia="zh-CN" w:bidi="ar"/>
                    </w:rPr>
                    <w:t>现有</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54" w:type="dxa"/>
                  <w:tcBorders>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11</w:t>
                  </w:r>
                </w:p>
              </w:tc>
              <w:tc>
                <w:tcPr>
                  <w:tcW w:w="2024"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排气筒</w:t>
                  </w:r>
                </w:p>
              </w:tc>
              <w:tc>
                <w:tcPr>
                  <w:tcW w:w="2025"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40m</w:t>
                  </w:r>
                </w:p>
              </w:tc>
              <w:tc>
                <w:tcPr>
                  <w:tcW w:w="1049" w:type="dxa"/>
                  <w:tcBorders>
                    <w:left w:val="single" w:color="auto" w:sz="2" w:space="0"/>
                    <w:bottom w:val="single" w:color="auto" w:sz="2" w:space="0"/>
                    <w:right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根</w:t>
                  </w:r>
                </w:p>
              </w:tc>
              <w:tc>
                <w:tcPr>
                  <w:tcW w:w="1049" w:type="dxa"/>
                  <w:tcBorders>
                    <w:left w:val="single" w:color="auto" w:sz="2" w:space="0"/>
                    <w:bottom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w:t>
                  </w:r>
                </w:p>
              </w:tc>
              <w:tc>
                <w:tcPr>
                  <w:tcW w:w="1306" w:type="dxa"/>
                  <w:tcBorders>
                    <w:left w:val="single" w:color="auto" w:sz="2" w:space="0"/>
                    <w:bottom w:val="single" w:color="auto" w:sz="2" w:space="0"/>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eastAsia="zh-CN" w:bidi="ar"/>
                    </w:rPr>
                    <w:t>现有</w:t>
                  </w:r>
                </w:p>
              </w:tc>
            </w:tr>
          </w:tbl>
          <w:p>
            <w:pPr>
              <w:spacing w:line="360" w:lineRule="auto"/>
              <w:ind w:firstLine="482"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b/>
                <w:bCs/>
                <w:color w:val="auto"/>
                <w:sz w:val="24"/>
                <w:highlight w:val="none"/>
                <w:lang w:val="en-US" w:eastAsia="zh-CN"/>
              </w:rPr>
              <w:t>2.3</w:t>
            </w:r>
            <w:r>
              <w:rPr>
                <w:rFonts w:hint="default" w:ascii="Times New Roman" w:hAnsi="Times New Roman" w:eastAsia="宋体" w:cs="Times New Roman"/>
                <w:b/>
                <w:bCs/>
                <w:color w:val="auto"/>
                <w:sz w:val="24"/>
                <w:highlight w:val="none"/>
              </w:rPr>
              <w:t>主要原辅材料及用量</w:t>
            </w:r>
          </w:p>
          <w:p>
            <w:pPr>
              <w:spacing w:line="360" w:lineRule="auto"/>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表2-</w:t>
            </w:r>
            <w:r>
              <w:rPr>
                <w:rFonts w:hint="default" w:ascii="Times New Roman" w:hAnsi="Times New Roman" w:eastAsia="宋体" w:cs="Times New Roman"/>
                <w:b/>
                <w:bCs/>
                <w:color w:val="auto"/>
                <w:sz w:val="24"/>
                <w:highlight w:val="none"/>
                <w:lang w:val="en-US" w:eastAsia="zh-CN"/>
              </w:rPr>
              <w:t>6  改建项目</w:t>
            </w:r>
            <w:r>
              <w:rPr>
                <w:rFonts w:hint="default" w:ascii="Times New Roman" w:hAnsi="Times New Roman" w:eastAsia="宋体" w:cs="Times New Roman"/>
                <w:b/>
                <w:bCs/>
                <w:color w:val="auto"/>
                <w:sz w:val="24"/>
                <w:highlight w:val="none"/>
              </w:rPr>
              <w:t>主要消耗情况一览表</w:t>
            </w:r>
          </w:p>
          <w:tbl>
            <w:tblPr>
              <w:tblStyle w:val="19"/>
              <w:tblW w:w="81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158"/>
              <w:gridCol w:w="2316"/>
              <w:gridCol w:w="2019"/>
              <w:gridCol w:w="26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1158"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231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消耗品</w:t>
                  </w:r>
                </w:p>
              </w:tc>
              <w:tc>
                <w:tcPr>
                  <w:tcW w:w="2019"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消耗量</w:t>
                  </w:r>
                </w:p>
              </w:tc>
              <w:tc>
                <w:tcPr>
                  <w:tcW w:w="2614"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储存场所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1158"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2316"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生物质成型燃料</w:t>
                  </w:r>
                </w:p>
              </w:tc>
              <w:tc>
                <w:tcPr>
                  <w:tcW w:w="2019"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2160</w:t>
                  </w:r>
                  <w:r>
                    <w:rPr>
                      <w:rFonts w:hint="default" w:ascii="Times New Roman" w:hAnsi="Times New Roman" w:eastAsia="宋体" w:cs="Times New Roman"/>
                      <w:color w:val="auto"/>
                      <w:sz w:val="21"/>
                      <w:szCs w:val="21"/>
                      <w:highlight w:val="none"/>
                    </w:rPr>
                    <w:t>t/a</w:t>
                  </w:r>
                </w:p>
              </w:tc>
              <w:tc>
                <w:tcPr>
                  <w:tcW w:w="2614"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无包装，堆存于</w:t>
                  </w:r>
                  <w:r>
                    <w:rPr>
                      <w:rFonts w:hint="default" w:ascii="Times New Roman" w:hAnsi="Times New Roman" w:eastAsia="宋体" w:cs="Times New Roman"/>
                      <w:color w:val="auto"/>
                      <w:sz w:val="21"/>
                      <w:szCs w:val="21"/>
                      <w:highlight w:val="none"/>
                      <w:lang w:eastAsia="zh-CN"/>
                    </w:rPr>
                    <w:t>燃料库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1158"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2316"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w:t>
                  </w:r>
                </w:p>
              </w:tc>
              <w:tc>
                <w:tcPr>
                  <w:tcW w:w="2019"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3474</w:t>
                  </w:r>
                  <w:r>
                    <w:rPr>
                      <w:rFonts w:hint="default" w:ascii="Times New Roman" w:hAnsi="Times New Roman" w:eastAsia="宋体" w:cs="Times New Roman"/>
                      <w:color w:val="auto"/>
                      <w:sz w:val="21"/>
                      <w:szCs w:val="21"/>
                      <w:highlight w:val="none"/>
                    </w:rPr>
                    <w:t>t/a</w:t>
                  </w:r>
                </w:p>
              </w:tc>
              <w:tc>
                <w:tcPr>
                  <w:tcW w:w="2614"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1158"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2316"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片碱（氢氧化钠）</w:t>
                  </w:r>
                </w:p>
              </w:tc>
              <w:tc>
                <w:tcPr>
                  <w:tcW w:w="2019"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1.2</w:t>
                  </w:r>
                  <w:r>
                    <w:rPr>
                      <w:rFonts w:hint="default" w:ascii="Times New Roman" w:hAnsi="Times New Roman" w:eastAsia="宋体" w:cs="Times New Roman"/>
                      <w:color w:val="auto"/>
                      <w:sz w:val="21"/>
                      <w:szCs w:val="21"/>
                      <w:highlight w:val="none"/>
                    </w:rPr>
                    <w:t>t/a</w:t>
                  </w:r>
                </w:p>
              </w:tc>
              <w:tc>
                <w:tcPr>
                  <w:tcW w:w="2614"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1158"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2316"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氢氧化钙</w:t>
                  </w:r>
                </w:p>
              </w:tc>
              <w:tc>
                <w:tcPr>
                  <w:tcW w:w="2019"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1.2</w:t>
                  </w:r>
                  <w:r>
                    <w:rPr>
                      <w:rFonts w:hint="default" w:ascii="Times New Roman" w:hAnsi="Times New Roman" w:eastAsia="宋体" w:cs="Times New Roman"/>
                      <w:color w:val="auto"/>
                      <w:sz w:val="21"/>
                      <w:szCs w:val="21"/>
                      <w:highlight w:val="none"/>
                    </w:rPr>
                    <w:t>t/a</w:t>
                  </w:r>
                </w:p>
              </w:tc>
              <w:tc>
                <w:tcPr>
                  <w:tcW w:w="2614"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1158"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5</w:t>
                  </w:r>
                </w:p>
              </w:tc>
              <w:tc>
                <w:tcPr>
                  <w:tcW w:w="2316"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电</w:t>
                  </w:r>
                </w:p>
              </w:tc>
              <w:tc>
                <w:tcPr>
                  <w:tcW w:w="2019"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eastAsia" w:cs="Times New Roman"/>
                      <w:color w:val="0000FF"/>
                      <w:sz w:val="21"/>
                      <w:szCs w:val="18"/>
                      <w:highlight w:val="none"/>
                      <w:lang w:val="en-US" w:eastAsia="zh-CN"/>
                    </w:rPr>
                    <w:t>6.5</w:t>
                  </w:r>
                  <w:r>
                    <w:rPr>
                      <w:rFonts w:hint="default" w:ascii="Times New Roman" w:hAnsi="Times New Roman" w:eastAsia="宋体" w:cs="Times New Roman"/>
                      <w:color w:val="0000FF"/>
                      <w:sz w:val="21"/>
                      <w:szCs w:val="18"/>
                      <w:highlight w:val="none"/>
                    </w:rPr>
                    <w:t>×10</w:t>
                  </w:r>
                  <w:r>
                    <w:rPr>
                      <w:rFonts w:hint="default" w:ascii="Times New Roman" w:hAnsi="Times New Roman" w:eastAsia="宋体" w:cs="Times New Roman"/>
                      <w:color w:val="0000FF"/>
                      <w:sz w:val="21"/>
                      <w:szCs w:val="18"/>
                      <w:highlight w:val="none"/>
                      <w:vertAlign w:val="superscript"/>
                    </w:rPr>
                    <w:t>4</w:t>
                  </w:r>
                  <w:r>
                    <w:rPr>
                      <w:rFonts w:hint="default" w:ascii="Times New Roman" w:hAnsi="Times New Roman" w:eastAsia="宋体" w:cs="Times New Roman"/>
                      <w:color w:val="0000FF"/>
                      <w:sz w:val="21"/>
                      <w:szCs w:val="18"/>
                      <w:highlight w:val="none"/>
                    </w:rPr>
                    <w:t>KWh/a</w:t>
                  </w:r>
                </w:p>
              </w:tc>
              <w:tc>
                <w:tcPr>
                  <w:tcW w:w="2614"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bl>
          <w:p>
            <w:pPr>
              <w:spacing w:line="360" w:lineRule="auto"/>
              <w:ind w:firstLine="0" w:firstLineChars="0"/>
              <w:jc w:val="cente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w:t>
            </w:r>
            <w:r>
              <w:rPr>
                <w:rFonts w:hint="default" w:ascii="Times New Roman" w:hAnsi="Times New Roman" w:eastAsia="宋体" w:cs="Times New Roman"/>
                <w:b/>
                <w:color w:val="auto"/>
                <w:sz w:val="24"/>
                <w:szCs w:val="24"/>
                <w:highlight w:val="none"/>
                <w:lang w:val="en-US" w:eastAsia="zh-CN"/>
              </w:rPr>
              <w:t xml:space="preserve">2-7  </w:t>
            </w:r>
            <w:r>
              <w:rPr>
                <w:rFonts w:hint="default" w:ascii="Times New Roman" w:hAnsi="Times New Roman" w:eastAsia="宋体" w:cs="Times New Roman"/>
                <w:b/>
                <w:color w:val="auto"/>
                <w:sz w:val="24"/>
                <w:szCs w:val="24"/>
                <w:highlight w:val="none"/>
              </w:rPr>
              <w:t>生物质成型燃料成分分析表</w:t>
            </w:r>
          </w:p>
          <w:tbl>
            <w:tblPr>
              <w:tblStyle w:val="19"/>
              <w:tblW w:w="810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54"/>
              <w:gridCol w:w="1948"/>
              <w:gridCol w:w="1527"/>
              <w:gridCol w:w="1739"/>
              <w:gridCol w:w="173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54" w:type="dxa"/>
                  <w:tcBorders>
                    <w:top w:val="single" w:color="auto" w:sz="4" w:space="0"/>
                    <w:left w:val="single" w:color="auto" w:sz="0"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18"/>
                      <w:highlight w:val="none"/>
                    </w:rPr>
                  </w:pPr>
                  <w:r>
                    <w:rPr>
                      <w:rFonts w:hint="default" w:ascii="Times New Roman" w:hAnsi="Times New Roman" w:eastAsia="宋体" w:cs="Times New Roman"/>
                      <w:b/>
                      <w:bCs/>
                      <w:color w:val="auto"/>
                      <w:sz w:val="21"/>
                      <w:szCs w:val="18"/>
                      <w:highlight w:val="none"/>
                    </w:rPr>
                    <w:t>序号</w:t>
                  </w:r>
                </w:p>
              </w:tc>
              <w:tc>
                <w:tcPr>
                  <w:tcW w:w="194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18"/>
                      <w:highlight w:val="none"/>
                    </w:rPr>
                  </w:pPr>
                  <w:r>
                    <w:rPr>
                      <w:rFonts w:hint="default" w:ascii="Times New Roman" w:hAnsi="Times New Roman" w:eastAsia="宋体" w:cs="Times New Roman"/>
                      <w:b/>
                      <w:bCs/>
                      <w:color w:val="auto"/>
                      <w:sz w:val="21"/>
                      <w:szCs w:val="18"/>
                      <w:highlight w:val="none"/>
                    </w:rPr>
                    <w:t>项目</w:t>
                  </w:r>
                </w:p>
              </w:tc>
              <w:tc>
                <w:tcPr>
                  <w:tcW w:w="152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18"/>
                      <w:highlight w:val="none"/>
                    </w:rPr>
                  </w:pPr>
                  <w:r>
                    <w:rPr>
                      <w:rFonts w:hint="default" w:ascii="Times New Roman" w:hAnsi="Times New Roman" w:eastAsia="宋体" w:cs="Times New Roman"/>
                      <w:b/>
                      <w:bCs/>
                      <w:color w:val="auto"/>
                      <w:sz w:val="21"/>
                      <w:szCs w:val="18"/>
                      <w:highlight w:val="none"/>
                    </w:rPr>
                    <w:t>符号</w:t>
                  </w:r>
                </w:p>
              </w:tc>
              <w:tc>
                <w:tcPr>
                  <w:tcW w:w="173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18"/>
                      <w:highlight w:val="none"/>
                    </w:rPr>
                  </w:pPr>
                  <w:r>
                    <w:rPr>
                      <w:rFonts w:hint="default" w:ascii="Times New Roman" w:hAnsi="Times New Roman" w:eastAsia="宋体" w:cs="Times New Roman"/>
                      <w:b/>
                      <w:bCs/>
                      <w:color w:val="auto"/>
                      <w:sz w:val="21"/>
                      <w:szCs w:val="18"/>
                      <w:highlight w:val="none"/>
                    </w:rPr>
                    <w:t>数值</w:t>
                  </w:r>
                </w:p>
              </w:tc>
              <w:tc>
                <w:tcPr>
                  <w:tcW w:w="1739" w:type="dxa"/>
                  <w:tcBorders>
                    <w:top w:val="single" w:color="auto" w:sz="4" w:space="0"/>
                    <w:left w:val="single" w:color="auto" w:sz="4" w:space="0"/>
                    <w:bottom w:val="single" w:color="auto" w:sz="4" w:space="0"/>
                    <w:right w:val="single" w:color="auto" w:sz="4" w:space="0"/>
                  </w:tcBorders>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18"/>
                      <w:highlight w:val="none"/>
                    </w:rPr>
                  </w:pPr>
                  <w:r>
                    <w:rPr>
                      <w:rFonts w:hint="default" w:ascii="Times New Roman" w:hAnsi="Times New Roman" w:eastAsia="宋体" w:cs="Times New Roman"/>
                      <w:b/>
                      <w:bCs/>
                      <w:color w:val="auto"/>
                      <w:sz w:val="21"/>
                      <w:szCs w:val="18"/>
                      <w:highlight w:val="none"/>
                    </w:rPr>
                    <w:t>单位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5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18"/>
                      <w:highlight w:val="none"/>
                    </w:rPr>
                  </w:pPr>
                  <w:r>
                    <w:rPr>
                      <w:rFonts w:hint="default" w:ascii="Times New Roman" w:hAnsi="Times New Roman" w:eastAsia="宋体" w:cs="Times New Roman"/>
                      <w:bCs/>
                      <w:color w:val="auto"/>
                      <w:sz w:val="21"/>
                      <w:szCs w:val="18"/>
                      <w:highlight w:val="none"/>
                    </w:rPr>
                    <w:t>1</w:t>
                  </w:r>
                </w:p>
              </w:tc>
              <w:tc>
                <w:tcPr>
                  <w:tcW w:w="194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18"/>
                      <w:highlight w:val="none"/>
                    </w:rPr>
                  </w:pPr>
                  <w:r>
                    <w:rPr>
                      <w:rFonts w:hint="default" w:ascii="Times New Roman" w:hAnsi="Times New Roman" w:eastAsia="宋体" w:cs="Times New Roman"/>
                      <w:bCs/>
                      <w:color w:val="auto"/>
                      <w:sz w:val="21"/>
                      <w:szCs w:val="18"/>
                      <w:highlight w:val="none"/>
                    </w:rPr>
                    <w:t>收到基灰分</w:t>
                  </w:r>
                </w:p>
              </w:tc>
              <w:tc>
                <w:tcPr>
                  <w:tcW w:w="152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18"/>
                      <w:highlight w:val="none"/>
                    </w:rPr>
                  </w:pPr>
                  <w:r>
                    <w:rPr>
                      <w:rFonts w:hint="default" w:ascii="Times New Roman" w:hAnsi="Times New Roman" w:eastAsia="宋体" w:cs="Times New Roman"/>
                      <w:bCs/>
                      <w:color w:val="auto"/>
                      <w:sz w:val="21"/>
                      <w:szCs w:val="18"/>
                      <w:highlight w:val="none"/>
                    </w:rPr>
                    <w:t>Ad</w:t>
                  </w:r>
                </w:p>
              </w:tc>
              <w:tc>
                <w:tcPr>
                  <w:tcW w:w="173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18"/>
                      <w:highlight w:val="none"/>
                      <w:lang w:eastAsia="zh-CN"/>
                    </w:rPr>
                  </w:pPr>
                  <w:r>
                    <w:rPr>
                      <w:rFonts w:hint="default" w:ascii="Times New Roman" w:hAnsi="Times New Roman" w:eastAsia="宋体" w:cs="Times New Roman"/>
                      <w:bCs/>
                      <w:color w:val="auto"/>
                      <w:sz w:val="21"/>
                      <w:szCs w:val="18"/>
                      <w:highlight w:val="none"/>
                      <w:lang w:eastAsia="zh-CN"/>
                    </w:rPr>
                    <w:t>5.17</w:t>
                  </w:r>
                </w:p>
              </w:tc>
              <w:tc>
                <w:tcPr>
                  <w:tcW w:w="1739" w:type="dxa"/>
                  <w:tcBorders>
                    <w:top w:val="single" w:color="auto" w:sz="4" w:space="0"/>
                    <w:left w:val="single" w:color="auto" w:sz="4" w:space="0"/>
                    <w:bottom w:val="single" w:color="auto" w:sz="4" w:space="0"/>
                    <w:right w:val="single" w:color="auto" w:sz="4" w:space="0"/>
                  </w:tcBorders>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18"/>
                      <w:highlight w:val="none"/>
                    </w:rPr>
                  </w:pPr>
                  <w:r>
                    <w:rPr>
                      <w:rFonts w:hint="default" w:ascii="Times New Roman" w:hAnsi="Times New Roman" w:eastAsia="宋体" w:cs="Times New Roman"/>
                      <w:bCs/>
                      <w:color w:val="auto"/>
                      <w:sz w:val="21"/>
                      <w:szCs w:val="18"/>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5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18"/>
                      <w:highlight w:val="none"/>
                    </w:rPr>
                  </w:pPr>
                  <w:r>
                    <w:rPr>
                      <w:rFonts w:hint="default" w:ascii="Times New Roman" w:hAnsi="Times New Roman" w:eastAsia="宋体" w:cs="Times New Roman"/>
                      <w:bCs/>
                      <w:color w:val="auto"/>
                      <w:sz w:val="21"/>
                      <w:szCs w:val="18"/>
                      <w:highlight w:val="none"/>
                    </w:rPr>
                    <w:t>2</w:t>
                  </w:r>
                </w:p>
              </w:tc>
              <w:tc>
                <w:tcPr>
                  <w:tcW w:w="194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18"/>
                      <w:highlight w:val="none"/>
                    </w:rPr>
                  </w:pPr>
                  <w:r>
                    <w:rPr>
                      <w:rFonts w:hint="default" w:ascii="Times New Roman" w:hAnsi="Times New Roman" w:eastAsia="宋体" w:cs="Times New Roman"/>
                      <w:bCs/>
                      <w:color w:val="auto"/>
                      <w:sz w:val="21"/>
                      <w:szCs w:val="18"/>
                      <w:highlight w:val="none"/>
                    </w:rPr>
                    <w:t>收到基硫分</w:t>
                  </w:r>
                </w:p>
              </w:tc>
              <w:tc>
                <w:tcPr>
                  <w:tcW w:w="152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18"/>
                      <w:highlight w:val="none"/>
                    </w:rPr>
                  </w:pPr>
                  <w:r>
                    <w:rPr>
                      <w:rFonts w:hint="default" w:ascii="Times New Roman" w:hAnsi="Times New Roman" w:eastAsia="宋体" w:cs="Times New Roman"/>
                      <w:bCs/>
                      <w:color w:val="auto"/>
                      <w:sz w:val="21"/>
                      <w:szCs w:val="18"/>
                      <w:highlight w:val="none"/>
                    </w:rPr>
                    <w:t>St.d</w:t>
                  </w:r>
                </w:p>
              </w:tc>
              <w:tc>
                <w:tcPr>
                  <w:tcW w:w="173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18"/>
                      <w:highlight w:val="none"/>
                      <w:lang w:val="en-US" w:eastAsia="zh-CN"/>
                    </w:rPr>
                  </w:pPr>
                  <w:r>
                    <w:rPr>
                      <w:rFonts w:hint="eastAsia" w:cs="Times New Roman"/>
                      <w:color w:val="auto"/>
                      <w:sz w:val="21"/>
                      <w:szCs w:val="18"/>
                      <w:highlight w:val="none"/>
                      <w:lang w:val="en-US" w:eastAsia="zh-CN"/>
                    </w:rPr>
                    <w:t>0.10</w:t>
                  </w:r>
                </w:p>
              </w:tc>
              <w:tc>
                <w:tcPr>
                  <w:tcW w:w="1739" w:type="dxa"/>
                  <w:tcBorders>
                    <w:top w:val="single" w:color="auto" w:sz="4" w:space="0"/>
                    <w:left w:val="single" w:color="auto" w:sz="4" w:space="0"/>
                    <w:bottom w:val="single" w:color="auto" w:sz="4" w:space="0"/>
                    <w:right w:val="single" w:color="auto" w:sz="4" w:space="0"/>
                  </w:tcBorders>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18"/>
                      <w:highlight w:val="none"/>
                    </w:rPr>
                  </w:pPr>
                  <w:r>
                    <w:rPr>
                      <w:rFonts w:hint="default" w:ascii="Times New Roman" w:hAnsi="Times New Roman" w:eastAsia="宋体" w:cs="Times New Roman"/>
                      <w:bCs/>
                      <w:color w:val="auto"/>
                      <w:sz w:val="21"/>
                      <w:szCs w:val="18"/>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5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18"/>
                      <w:highlight w:val="none"/>
                    </w:rPr>
                  </w:pPr>
                  <w:r>
                    <w:rPr>
                      <w:rFonts w:hint="default" w:ascii="Times New Roman" w:hAnsi="Times New Roman" w:eastAsia="宋体" w:cs="Times New Roman"/>
                      <w:bCs/>
                      <w:color w:val="auto"/>
                      <w:sz w:val="21"/>
                      <w:szCs w:val="18"/>
                      <w:highlight w:val="none"/>
                    </w:rPr>
                    <w:t>3</w:t>
                  </w:r>
                </w:p>
              </w:tc>
              <w:tc>
                <w:tcPr>
                  <w:tcW w:w="194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18"/>
                      <w:highlight w:val="none"/>
                    </w:rPr>
                  </w:pPr>
                  <w:r>
                    <w:rPr>
                      <w:rFonts w:hint="default" w:ascii="Times New Roman" w:hAnsi="Times New Roman" w:eastAsia="宋体" w:cs="Times New Roman"/>
                      <w:bCs/>
                      <w:color w:val="auto"/>
                      <w:sz w:val="21"/>
                      <w:szCs w:val="18"/>
                      <w:highlight w:val="none"/>
                    </w:rPr>
                    <w:t>收到基低位发热量</w:t>
                  </w:r>
                </w:p>
              </w:tc>
              <w:tc>
                <w:tcPr>
                  <w:tcW w:w="152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18"/>
                      <w:highlight w:val="none"/>
                    </w:rPr>
                  </w:pPr>
                  <w:r>
                    <w:rPr>
                      <w:rFonts w:hint="default" w:ascii="Times New Roman" w:hAnsi="Times New Roman" w:eastAsia="宋体" w:cs="Times New Roman"/>
                      <w:bCs/>
                      <w:color w:val="auto"/>
                      <w:sz w:val="21"/>
                      <w:szCs w:val="18"/>
                      <w:highlight w:val="none"/>
                    </w:rPr>
                    <w:t>Qnet,ar</w:t>
                  </w:r>
                </w:p>
              </w:tc>
              <w:tc>
                <w:tcPr>
                  <w:tcW w:w="173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14.60</w:t>
                  </w:r>
                </w:p>
              </w:tc>
              <w:tc>
                <w:tcPr>
                  <w:tcW w:w="1739" w:type="dxa"/>
                  <w:tcBorders>
                    <w:top w:val="single" w:color="auto" w:sz="4" w:space="0"/>
                    <w:left w:val="single" w:color="auto" w:sz="4" w:space="0"/>
                    <w:bottom w:val="single" w:color="auto" w:sz="4" w:space="0"/>
                    <w:right w:val="single" w:color="auto" w:sz="4" w:space="0"/>
                  </w:tcBorders>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18"/>
                      <w:highlight w:val="none"/>
                    </w:rPr>
                  </w:pPr>
                  <w:r>
                    <w:rPr>
                      <w:rFonts w:hint="default" w:ascii="Times New Roman" w:hAnsi="Times New Roman" w:eastAsia="宋体" w:cs="Times New Roman"/>
                      <w:color w:val="auto"/>
                      <w:sz w:val="21"/>
                      <w:szCs w:val="18"/>
                      <w:highlight w:val="none"/>
                    </w:rPr>
                    <w:t>MJ/kg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54"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18"/>
                      <w:highlight w:val="none"/>
                    </w:rPr>
                  </w:pPr>
                  <w:r>
                    <w:rPr>
                      <w:rFonts w:hint="default" w:ascii="Times New Roman" w:hAnsi="Times New Roman" w:eastAsia="宋体" w:cs="Times New Roman"/>
                      <w:bCs/>
                      <w:color w:val="auto"/>
                      <w:sz w:val="21"/>
                      <w:szCs w:val="18"/>
                      <w:highlight w:val="none"/>
                    </w:rPr>
                    <w:t>4</w:t>
                  </w:r>
                </w:p>
              </w:tc>
              <w:tc>
                <w:tcPr>
                  <w:tcW w:w="1948"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18"/>
                      <w:highlight w:val="none"/>
                    </w:rPr>
                  </w:pPr>
                  <w:r>
                    <w:rPr>
                      <w:rFonts w:hint="default" w:ascii="Times New Roman" w:hAnsi="Times New Roman" w:eastAsia="宋体" w:cs="Times New Roman"/>
                      <w:bCs/>
                      <w:color w:val="auto"/>
                      <w:sz w:val="21"/>
                      <w:szCs w:val="18"/>
                      <w:highlight w:val="none"/>
                    </w:rPr>
                    <w:t>飞灰可燃物含量</w:t>
                  </w:r>
                </w:p>
              </w:tc>
              <w:tc>
                <w:tcPr>
                  <w:tcW w:w="152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18"/>
                      <w:highlight w:val="none"/>
                    </w:rPr>
                  </w:pPr>
                  <w:r>
                    <w:rPr>
                      <w:rFonts w:hint="default" w:ascii="Times New Roman" w:hAnsi="Times New Roman" w:eastAsia="宋体" w:cs="Times New Roman"/>
                      <w:color w:val="auto"/>
                      <w:sz w:val="21"/>
                      <w:szCs w:val="18"/>
                      <w:highlight w:val="none"/>
                    </w:rPr>
                    <w:t>C</w:t>
                  </w:r>
                  <w:r>
                    <w:rPr>
                      <w:rFonts w:hint="default" w:ascii="Times New Roman" w:hAnsi="Times New Roman" w:eastAsia="宋体" w:cs="Times New Roman"/>
                      <w:color w:val="auto"/>
                      <w:sz w:val="21"/>
                      <w:szCs w:val="18"/>
                      <w:highlight w:val="none"/>
                      <w:vertAlign w:val="subscript"/>
                    </w:rPr>
                    <w:t>fh</w:t>
                  </w:r>
                </w:p>
              </w:tc>
              <w:tc>
                <w:tcPr>
                  <w:tcW w:w="1739"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18"/>
                      <w:highlight w:val="none"/>
                      <w:lang w:eastAsia="zh-CN"/>
                    </w:rPr>
                  </w:pPr>
                  <w:r>
                    <w:rPr>
                      <w:rFonts w:hint="default" w:ascii="Times New Roman" w:hAnsi="Times New Roman" w:eastAsia="宋体" w:cs="Times New Roman"/>
                      <w:bCs/>
                      <w:color w:val="auto"/>
                      <w:sz w:val="21"/>
                      <w:szCs w:val="18"/>
                      <w:highlight w:val="none"/>
                      <w:lang w:eastAsia="zh-CN"/>
                    </w:rPr>
                    <w:t>5</w:t>
                  </w:r>
                </w:p>
              </w:tc>
              <w:tc>
                <w:tcPr>
                  <w:tcW w:w="1739" w:type="dxa"/>
                  <w:tcBorders>
                    <w:top w:val="single" w:color="auto" w:sz="4" w:space="0"/>
                    <w:left w:val="single" w:color="auto" w:sz="4" w:space="0"/>
                    <w:bottom w:val="single" w:color="auto" w:sz="4" w:space="0"/>
                    <w:right w:val="single" w:color="auto" w:sz="4" w:space="0"/>
                  </w:tcBorders>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bCs/>
                      <w:color w:val="auto"/>
                      <w:sz w:val="21"/>
                      <w:szCs w:val="18"/>
                      <w:highlight w:val="none"/>
                    </w:rPr>
                    <w:t>%</w:t>
                  </w:r>
                </w:p>
              </w:tc>
            </w:tr>
          </w:tbl>
          <w:p>
            <w:pPr>
              <w:bidi w:val="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lang w:val="en-US" w:eastAsia="zh-CN"/>
              </w:rPr>
              <w:t>2.4</w:t>
            </w:r>
            <w:r>
              <w:rPr>
                <w:rFonts w:hint="default" w:ascii="Times New Roman" w:hAnsi="Times New Roman" w:eastAsia="宋体" w:cs="Times New Roman"/>
                <w:b/>
                <w:bCs/>
                <w:color w:val="auto"/>
                <w:highlight w:val="none"/>
              </w:rPr>
              <w:t>工作制度及劳动定员</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生物质热水锅炉</w:t>
            </w:r>
            <w:r>
              <w:rPr>
                <w:rFonts w:hint="default" w:ascii="Times New Roman" w:hAnsi="Times New Roman" w:eastAsia="宋体" w:cs="Times New Roman"/>
                <w:color w:val="auto"/>
                <w:highlight w:val="none"/>
              </w:rPr>
              <w:t>每年运行</w:t>
            </w:r>
            <w:r>
              <w:rPr>
                <w:rFonts w:hint="default" w:ascii="Times New Roman" w:hAnsi="Times New Roman" w:eastAsia="宋体" w:cs="Times New Roman"/>
                <w:color w:val="auto"/>
                <w:highlight w:val="none"/>
                <w:lang w:val="en-US" w:eastAsia="zh-CN"/>
              </w:rPr>
              <w:t>180</w:t>
            </w:r>
            <w:r>
              <w:rPr>
                <w:rFonts w:hint="default" w:ascii="Times New Roman" w:hAnsi="Times New Roman" w:eastAsia="宋体" w:cs="Times New Roman"/>
                <w:color w:val="auto"/>
                <w:highlight w:val="none"/>
              </w:rPr>
              <w:t>天，每天运行</w:t>
            </w:r>
            <w:r>
              <w:rPr>
                <w:rFonts w:hint="default" w:ascii="Times New Roman" w:hAnsi="Times New Roman" w:eastAsia="宋体" w:cs="Times New Roman"/>
                <w:color w:val="auto"/>
                <w:highlight w:val="none"/>
                <w:lang w:val="en-US" w:eastAsia="zh-CN"/>
              </w:rPr>
              <w:t>24</w:t>
            </w:r>
            <w:r>
              <w:rPr>
                <w:rFonts w:hint="default" w:ascii="Times New Roman" w:hAnsi="Times New Roman" w:eastAsia="宋体" w:cs="Times New Roman"/>
                <w:color w:val="auto"/>
                <w:highlight w:val="none"/>
              </w:rPr>
              <w:t>小时。</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改建项目</w:t>
            </w:r>
            <w:r>
              <w:rPr>
                <w:rFonts w:hint="default" w:ascii="Times New Roman" w:hAnsi="Times New Roman" w:eastAsia="宋体" w:cs="Times New Roman"/>
                <w:color w:val="auto"/>
                <w:highlight w:val="none"/>
              </w:rPr>
              <w:t>不新增工作人员，由</w:t>
            </w:r>
            <w:r>
              <w:rPr>
                <w:rFonts w:hint="eastAsia" w:cs="Times New Roman"/>
                <w:color w:val="auto"/>
                <w:highlight w:val="none"/>
                <w:lang w:eastAsia="zh-CN"/>
              </w:rPr>
              <w:t>大中矿业股份有限公司</w:t>
            </w:r>
            <w:r>
              <w:rPr>
                <w:rFonts w:hint="default" w:ascii="Times New Roman" w:hAnsi="Times New Roman" w:eastAsia="宋体" w:cs="Times New Roman"/>
                <w:color w:val="auto"/>
                <w:highlight w:val="none"/>
              </w:rPr>
              <w:t>厂区</w:t>
            </w:r>
            <w:r>
              <w:rPr>
                <w:rFonts w:hint="default" w:ascii="Times New Roman" w:hAnsi="Times New Roman" w:eastAsia="宋体" w:cs="Times New Roman"/>
                <w:color w:val="auto"/>
                <w:highlight w:val="none"/>
                <w:lang w:eastAsia="zh-CN"/>
              </w:rPr>
              <w:t>内</w:t>
            </w:r>
            <w:r>
              <w:rPr>
                <w:rFonts w:hint="default" w:ascii="Times New Roman" w:hAnsi="Times New Roman" w:eastAsia="宋体" w:cs="Times New Roman"/>
                <w:color w:val="auto"/>
                <w:highlight w:val="none"/>
              </w:rPr>
              <w:t>部调配。</w:t>
            </w:r>
          </w:p>
          <w:p>
            <w:pPr>
              <w:bidi w:val="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lang w:val="en-US" w:eastAsia="zh-CN"/>
              </w:rPr>
              <w:t>3</w:t>
            </w:r>
            <w:r>
              <w:rPr>
                <w:rFonts w:hint="default" w:ascii="Times New Roman" w:hAnsi="Times New Roman" w:eastAsia="宋体" w:cs="Times New Roman"/>
                <w:b/>
                <w:bCs/>
                <w:color w:val="auto"/>
                <w:highlight w:val="none"/>
              </w:rPr>
              <w:t>、公用工程</w:t>
            </w:r>
          </w:p>
          <w:p>
            <w:pPr>
              <w:bidi w:val="0"/>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val="en-US" w:eastAsia="zh-CN"/>
              </w:rPr>
              <w:t>3</w:t>
            </w:r>
            <w:r>
              <w:rPr>
                <w:rFonts w:hint="default" w:ascii="Times New Roman" w:hAnsi="Times New Roman" w:eastAsia="宋体" w:cs="Times New Roman"/>
                <w:b/>
                <w:bCs/>
                <w:color w:val="auto"/>
                <w:highlight w:val="none"/>
              </w:rPr>
              <w:t>.1</w:t>
            </w:r>
            <w:r>
              <w:rPr>
                <w:rFonts w:hint="default" w:ascii="Times New Roman" w:hAnsi="Times New Roman" w:eastAsia="宋体" w:cs="Times New Roman"/>
                <w:b/>
                <w:bCs/>
                <w:color w:val="auto"/>
                <w:highlight w:val="none"/>
                <w:lang w:eastAsia="zh-CN"/>
              </w:rPr>
              <w:t>供水</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改建项目不新增劳动定员，因此不新增生活用水。项目运营期用水主要为锅炉用水、脱硫塔用水，用水情况如下。</w:t>
            </w:r>
          </w:p>
          <w:p>
            <w:pPr>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eastAsia="zh-CN"/>
              </w:rPr>
              <w:t>）锅炉用水</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改建项目</w:t>
            </w:r>
            <w:r>
              <w:rPr>
                <w:rFonts w:hint="default" w:ascii="Times New Roman" w:hAnsi="Times New Roman" w:eastAsia="宋体" w:cs="Times New Roman"/>
                <w:color w:val="auto"/>
                <w:highlight w:val="none"/>
              </w:rPr>
              <w:t>1台</w:t>
            </w:r>
            <w:r>
              <w:rPr>
                <w:rFonts w:hint="default" w:ascii="Times New Roman" w:hAnsi="Times New Roman" w:eastAsia="宋体" w:cs="Times New Roman"/>
                <w:color w:val="auto"/>
                <w:highlight w:val="none"/>
                <w:lang w:val="en-US" w:eastAsia="zh-CN"/>
              </w:rPr>
              <w:t>10</w:t>
            </w:r>
            <w:r>
              <w:rPr>
                <w:rFonts w:hint="default" w:ascii="Times New Roman" w:hAnsi="Times New Roman" w:eastAsia="宋体" w:cs="Times New Roman"/>
                <w:color w:val="auto"/>
                <w:highlight w:val="none"/>
                <w:lang w:eastAsia="zh-CN"/>
              </w:rPr>
              <w:t>t/h生物质热水锅炉</w:t>
            </w:r>
            <w:r>
              <w:rPr>
                <w:rFonts w:hint="default" w:ascii="Times New Roman" w:hAnsi="Times New Roman" w:eastAsia="宋体" w:cs="Times New Roman"/>
                <w:color w:val="auto"/>
                <w:highlight w:val="none"/>
              </w:rPr>
              <w:t>产生的热水输送至用热部门后，最终返回</w:t>
            </w:r>
            <w:r>
              <w:rPr>
                <w:rFonts w:hint="default" w:ascii="Times New Roman" w:hAnsi="Times New Roman" w:eastAsia="宋体" w:cs="Times New Roman"/>
                <w:color w:val="auto"/>
                <w:highlight w:val="none"/>
                <w:lang w:eastAsia="zh-CN"/>
              </w:rPr>
              <w:t>生物质热水锅炉</w:t>
            </w:r>
            <w:r>
              <w:rPr>
                <w:rFonts w:hint="default" w:ascii="Times New Roman" w:hAnsi="Times New Roman" w:eastAsia="宋体" w:cs="Times New Roman"/>
                <w:color w:val="auto"/>
                <w:highlight w:val="none"/>
              </w:rPr>
              <w:t>，额定循环量为</w:t>
            </w:r>
            <w:r>
              <w:rPr>
                <w:rFonts w:hint="default" w:ascii="Times New Roman" w:hAnsi="Times New Roman" w:eastAsia="宋体" w:cs="Times New Roman"/>
                <w:color w:val="auto"/>
                <w:highlight w:val="none"/>
                <w:lang w:val="en-US" w:eastAsia="zh-CN"/>
              </w:rPr>
              <w:t>10</w:t>
            </w:r>
            <w:r>
              <w:rPr>
                <w:rFonts w:hint="default" w:ascii="Times New Roman" w:hAnsi="Times New Roman" w:eastAsia="宋体" w:cs="Times New Roman"/>
                <w:color w:val="auto"/>
                <w:highlight w:val="none"/>
                <w:lang w:eastAsia="zh-CN"/>
              </w:rPr>
              <w:t>t/h</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锅炉定期排污水</w:t>
            </w:r>
            <w:r>
              <w:rPr>
                <w:rFonts w:hint="default" w:ascii="Times New Roman" w:hAnsi="Times New Roman" w:eastAsia="宋体" w:cs="Times New Roman"/>
                <w:color w:val="auto"/>
                <w:highlight w:val="none"/>
              </w:rPr>
              <w:t>按循环水量的2%计算，则</w:t>
            </w:r>
            <w:r>
              <w:rPr>
                <w:rFonts w:hint="default" w:ascii="Times New Roman" w:hAnsi="Times New Roman" w:eastAsia="宋体" w:cs="Times New Roman"/>
                <w:color w:val="auto"/>
                <w:highlight w:val="none"/>
                <w:lang w:eastAsia="zh-CN"/>
              </w:rPr>
              <w:t>锅炉定期排污水</w:t>
            </w:r>
            <w:r>
              <w:rPr>
                <w:rFonts w:hint="default" w:ascii="Times New Roman" w:hAnsi="Times New Roman" w:eastAsia="宋体" w:cs="Times New Roman"/>
                <w:color w:val="auto"/>
                <w:highlight w:val="none"/>
              </w:rPr>
              <w:t>排放量为0.</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lang w:val="en-US" w:eastAsia="zh-CN"/>
              </w:rPr>
              <w:t>4.8</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w:t>
            </w:r>
            <w:r>
              <w:rPr>
                <w:rFonts w:hint="default" w:ascii="Times New Roman" w:hAnsi="Times New Roman" w:eastAsia="宋体" w:cs="Times New Roman"/>
                <w:color w:val="auto"/>
                <w:highlight w:val="none"/>
                <w:lang w:val="en-US" w:eastAsia="zh-CN"/>
              </w:rPr>
              <w:t>864</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/a）；锅炉内热水加热过程中，水分</w:t>
            </w:r>
            <w:r>
              <w:rPr>
                <w:rFonts w:hint="default" w:ascii="Times New Roman" w:hAnsi="Times New Roman" w:eastAsia="宋体" w:cs="Times New Roman"/>
                <w:color w:val="auto"/>
                <w:highlight w:val="none"/>
                <w:lang w:val="zh-CN"/>
              </w:rPr>
              <w:t>损失量</w:t>
            </w:r>
            <w:r>
              <w:rPr>
                <w:rFonts w:hint="default" w:ascii="Times New Roman" w:hAnsi="Times New Roman" w:eastAsia="宋体" w:cs="Times New Roman"/>
                <w:color w:val="auto"/>
                <w:highlight w:val="none"/>
              </w:rPr>
              <w:t>按循环水量的</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%计算，则锅炉损失量为0.</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lang w:val="en-US" w:eastAsia="zh-CN"/>
              </w:rPr>
              <w:t>7.2</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w:t>
            </w:r>
            <w:r>
              <w:rPr>
                <w:rFonts w:hint="default" w:ascii="Times New Roman" w:hAnsi="Times New Roman" w:eastAsia="宋体" w:cs="Times New Roman"/>
                <w:color w:val="auto"/>
                <w:highlight w:val="none"/>
                <w:lang w:val="en-US" w:eastAsia="zh-CN"/>
              </w:rPr>
              <w:t>1296</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/a）。</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锅炉用水通过软水制备装置补给，</w:t>
            </w:r>
            <w:r>
              <w:rPr>
                <w:rFonts w:hint="default" w:ascii="Times New Roman" w:hAnsi="Times New Roman" w:eastAsia="宋体" w:cs="Times New Roman"/>
                <w:color w:val="auto"/>
                <w:highlight w:val="none"/>
                <w:lang w:eastAsia="zh-CN"/>
              </w:rPr>
              <w:t>改建项目</w:t>
            </w:r>
            <w:r>
              <w:rPr>
                <w:rFonts w:hint="default" w:ascii="Times New Roman" w:hAnsi="Times New Roman" w:eastAsia="宋体" w:cs="Times New Roman"/>
                <w:color w:val="auto"/>
                <w:highlight w:val="none"/>
              </w:rPr>
              <w:t>1台</w:t>
            </w:r>
            <w:r>
              <w:rPr>
                <w:rFonts w:hint="default" w:ascii="Times New Roman" w:hAnsi="Times New Roman" w:eastAsia="宋体" w:cs="Times New Roman"/>
                <w:color w:val="auto"/>
                <w:highlight w:val="none"/>
                <w:lang w:val="en-US" w:eastAsia="zh-CN"/>
              </w:rPr>
              <w:t>10</w:t>
            </w:r>
            <w:r>
              <w:rPr>
                <w:rFonts w:hint="default" w:ascii="Times New Roman" w:hAnsi="Times New Roman" w:eastAsia="宋体" w:cs="Times New Roman"/>
                <w:color w:val="auto"/>
                <w:highlight w:val="none"/>
                <w:lang w:eastAsia="zh-CN"/>
              </w:rPr>
              <w:t>t/h生物质热水锅炉</w:t>
            </w:r>
            <w:r>
              <w:rPr>
                <w:rFonts w:hint="default" w:ascii="Times New Roman" w:hAnsi="Times New Roman" w:eastAsia="宋体" w:cs="Times New Roman"/>
                <w:color w:val="auto"/>
                <w:highlight w:val="none"/>
              </w:rPr>
              <w:t>软水消耗量为0.</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lang w:val="en-US" w:eastAsia="zh-CN"/>
              </w:rPr>
              <w:t>12</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w:t>
            </w:r>
            <w:r>
              <w:rPr>
                <w:rFonts w:hint="default" w:ascii="Times New Roman" w:hAnsi="Times New Roman" w:eastAsia="宋体" w:cs="Times New Roman"/>
                <w:color w:val="auto"/>
                <w:highlight w:val="none"/>
                <w:lang w:val="en-US" w:eastAsia="zh-CN"/>
              </w:rPr>
              <w:t>2160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/a），软水制备装置的软水产出率按80%计算，因此，软水制备装置消耗的新鲜水量为</w:t>
            </w:r>
            <w:r>
              <w:rPr>
                <w:rFonts w:hint="default" w:ascii="Times New Roman" w:hAnsi="Times New Roman" w:eastAsia="宋体" w:cs="Times New Roman"/>
                <w:color w:val="auto"/>
                <w:highlight w:val="none"/>
                <w:lang w:val="en-US" w:eastAsia="zh-CN"/>
              </w:rPr>
              <w:t>0.625</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lang w:val="en-US" w:eastAsia="zh-CN"/>
              </w:rPr>
              <w:t>15</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2700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/a）</w:t>
            </w:r>
            <w:r>
              <w:rPr>
                <w:rFonts w:hint="default" w:ascii="Times New Roman" w:hAnsi="Times New Roman" w:eastAsia="宋体" w:cs="Times New Roman"/>
                <w:color w:val="auto"/>
                <w:highlight w:val="none"/>
                <w:lang w:val="en-US" w:eastAsia="zh-CN"/>
              </w:rPr>
              <w:t>。</w:t>
            </w:r>
          </w:p>
          <w:p>
            <w:pPr>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灰渣库</w:t>
            </w:r>
            <w:r>
              <w:rPr>
                <w:rFonts w:hint="default" w:ascii="Times New Roman" w:hAnsi="Times New Roman" w:eastAsia="宋体" w:cs="Times New Roman"/>
                <w:color w:val="auto"/>
                <w:highlight w:val="none"/>
                <w:lang w:eastAsia="zh-CN"/>
              </w:rPr>
              <w:t>抑尘用水</w:t>
            </w:r>
          </w:p>
          <w:p>
            <w:pPr>
              <w:keepNext w:val="0"/>
              <w:keepLines w:val="0"/>
              <w:pageBreakBefore w:val="0"/>
              <w:kinsoku/>
              <w:wordWrap/>
              <w:overflowPunct/>
              <w:topLinePunct w:val="0"/>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改建项目灰渣库</w:t>
            </w:r>
            <w:r>
              <w:rPr>
                <w:rFonts w:hint="default" w:ascii="Times New Roman" w:hAnsi="Times New Roman" w:eastAsia="宋体" w:cs="Times New Roman"/>
                <w:color w:val="auto"/>
                <w:sz w:val="24"/>
                <w:szCs w:val="24"/>
                <w:highlight w:val="none"/>
              </w:rPr>
              <w:t>面积为</w:t>
            </w:r>
            <w:r>
              <w:rPr>
                <w:rFonts w:hint="default" w:ascii="Times New Roman" w:hAnsi="Times New Roman" w:eastAsia="宋体" w:cs="Times New Roman"/>
                <w:color w:val="auto"/>
                <w:sz w:val="24"/>
                <w:szCs w:val="24"/>
                <w:highlight w:val="none"/>
                <w:lang w:val="en-US" w:eastAsia="zh-CN"/>
              </w:rPr>
              <w:t>150</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，根据《内蒙古自治区行业用水定额标准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20</w:t>
            </w:r>
            <w:r>
              <w:rPr>
                <w:rFonts w:hint="default" w:ascii="Times New Roman" w:hAnsi="Times New Roman" w:eastAsia="宋体" w:cs="Times New Roman"/>
                <w:color w:val="auto"/>
                <w:sz w:val="24"/>
                <w:szCs w:val="24"/>
                <w:highlight w:val="none"/>
                <w:lang w:val="en-US" w:eastAsia="zh-CN"/>
              </w:rPr>
              <w:t>20</w:t>
            </w:r>
            <w:r>
              <w:rPr>
                <w:rFonts w:hint="default" w:ascii="Times New Roman" w:hAnsi="Times New Roman" w:eastAsia="宋体" w:cs="Times New Roman"/>
                <w:color w:val="auto"/>
                <w:sz w:val="24"/>
                <w:szCs w:val="24"/>
                <w:highlight w:val="none"/>
              </w:rPr>
              <w:t>版）》，场地喷洒用水定额按1.3L/</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·次）计，运营期共</w:t>
            </w:r>
            <w:r>
              <w:rPr>
                <w:rFonts w:hint="default" w:ascii="Times New Roman" w:hAnsi="Times New Roman" w:eastAsia="宋体" w:cs="Times New Roman"/>
                <w:color w:val="auto"/>
                <w:sz w:val="24"/>
                <w:szCs w:val="24"/>
                <w:highlight w:val="none"/>
                <w:lang w:val="en-US" w:eastAsia="zh-CN"/>
              </w:rPr>
              <w:t>180</w:t>
            </w:r>
            <w:r>
              <w:rPr>
                <w:rFonts w:hint="default" w:ascii="Times New Roman" w:hAnsi="Times New Roman" w:eastAsia="宋体" w:cs="Times New Roman"/>
                <w:color w:val="auto"/>
                <w:sz w:val="24"/>
                <w:szCs w:val="24"/>
                <w:highlight w:val="none"/>
              </w:rPr>
              <w:t>天，则</w:t>
            </w:r>
            <w:r>
              <w:rPr>
                <w:rFonts w:hint="default" w:ascii="Times New Roman" w:hAnsi="Times New Roman" w:eastAsia="宋体" w:cs="Times New Roman"/>
                <w:color w:val="auto"/>
                <w:sz w:val="24"/>
                <w:szCs w:val="24"/>
                <w:highlight w:val="none"/>
                <w:lang w:val="en-US" w:eastAsia="zh-CN"/>
              </w:rPr>
              <w:t>灰渣库降尘用水</w:t>
            </w:r>
            <w:r>
              <w:rPr>
                <w:rFonts w:hint="default" w:ascii="Times New Roman" w:hAnsi="Times New Roman" w:eastAsia="宋体" w:cs="Times New Roman"/>
                <w:color w:val="auto"/>
                <w:sz w:val="24"/>
                <w:szCs w:val="24"/>
                <w:highlight w:val="none"/>
              </w:rPr>
              <w:t>量约</w:t>
            </w:r>
            <w:r>
              <w:rPr>
                <w:rFonts w:hint="default" w:ascii="Times New Roman" w:hAnsi="Times New Roman" w:eastAsia="宋体" w:cs="Times New Roman"/>
                <w:color w:val="auto"/>
                <w:sz w:val="24"/>
                <w:szCs w:val="24"/>
                <w:highlight w:val="none"/>
                <w:lang w:val="en-US" w:eastAsia="zh-CN"/>
              </w:rPr>
              <w:t>0.195</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/d</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35.1</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/a）</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由</w:t>
            </w:r>
            <w:r>
              <w:rPr>
                <w:rFonts w:hint="default" w:ascii="Times New Roman" w:hAnsi="Times New Roman" w:eastAsia="宋体" w:cs="Times New Roman"/>
                <w:color w:val="auto"/>
                <w:sz w:val="24"/>
                <w:szCs w:val="24"/>
                <w:highlight w:val="none"/>
                <w:lang w:eastAsia="zh-CN"/>
              </w:rPr>
              <w:t>软水制备废水和锅炉排污水</w:t>
            </w:r>
            <w:r>
              <w:rPr>
                <w:rFonts w:hint="default" w:ascii="Times New Roman" w:hAnsi="Times New Roman" w:eastAsia="宋体" w:cs="Times New Roman"/>
                <w:color w:val="auto"/>
                <w:sz w:val="24"/>
                <w:szCs w:val="24"/>
                <w:highlight w:val="none"/>
                <w:lang w:val="en-US" w:eastAsia="zh-CN"/>
              </w:rPr>
              <w:t>供给</w:t>
            </w:r>
            <w:r>
              <w:rPr>
                <w:rFonts w:hint="default" w:ascii="Times New Roman" w:hAnsi="Times New Roman" w:eastAsia="宋体" w:cs="Times New Roman"/>
                <w:color w:val="auto"/>
                <w:sz w:val="24"/>
                <w:szCs w:val="24"/>
                <w:highlight w:val="none"/>
                <w:lang w:eastAsia="zh-CN"/>
              </w:rPr>
              <w:t>，不消耗新鲜水</w:t>
            </w:r>
            <w:r>
              <w:rPr>
                <w:rFonts w:hint="default" w:ascii="Times New Roman" w:hAnsi="Times New Roman" w:eastAsia="宋体" w:cs="Times New Roman"/>
                <w:color w:val="auto"/>
                <w:sz w:val="24"/>
                <w:szCs w:val="24"/>
                <w:highlight w:val="none"/>
                <w:lang w:val="en-US" w:eastAsia="zh-CN"/>
              </w:rPr>
              <w:t>。</w:t>
            </w:r>
          </w:p>
          <w:p>
            <w:pPr>
              <w:keepNext w:val="0"/>
              <w:keepLines w:val="0"/>
              <w:pageBreakBefore w:val="0"/>
              <w:kinsoku/>
              <w:wordWrap/>
              <w:overflowPunct/>
              <w:topLinePunct w:val="0"/>
              <w:bidi w:val="0"/>
              <w:spacing w:line="360" w:lineRule="auto"/>
              <w:ind w:left="0" w:leftChars="0" w:right="0" w:rightChars="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（3）脱硫塔用水</w:t>
            </w:r>
          </w:p>
          <w:p>
            <w:pPr>
              <w:keepNext w:val="0"/>
              <w:keepLines w:val="0"/>
              <w:pageBreakBefore w:val="0"/>
              <w:kinsoku/>
              <w:wordWrap/>
              <w:overflowPunct/>
              <w:topLinePunct w:val="0"/>
              <w:autoSpaceDE w:val="0"/>
              <w:autoSpaceDN w:val="0"/>
              <w:bidi w:val="0"/>
              <w:adjustRightIn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改建项目生物质热水锅炉</w:t>
            </w:r>
            <w:r>
              <w:rPr>
                <w:rFonts w:hint="default" w:ascii="Times New Roman" w:hAnsi="Times New Roman" w:eastAsia="宋体" w:cs="Times New Roman"/>
                <w:color w:val="auto"/>
                <w:sz w:val="24"/>
                <w:szCs w:val="24"/>
                <w:highlight w:val="none"/>
              </w:rPr>
              <w:t>设置1座</w:t>
            </w:r>
            <w:r>
              <w:rPr>
                <w:rFonts w:hint="default" w:ascii="Times New Roman" w:hAnsi="Times New Roman" w:eastAsia="宋体" w:cs="Times New Roman"/>
                <w:color w:val="auto"/>
                <w:sz w:val="24"/>
                <w:szCs w:val="24"/>
                <w:highlight w:val="none"/>
                <w:lang w:val="en-US" w:eastAsia="zh-CN"/>
              </w:rPr>
              <w:t>双</w:t>
            </w:r>
            <w:r>
              <w:rPr>
                <w:rFonts w:hint="default" w:ascii="Times New Roman" w:hAnsi="Times New Roman" w:eastAsia="宋体" w:cs="Times New Roman"/>
                <w:color w:val="auto"/>
                <w:sz w:val="24"/>
                <w:szCs w:val="24"/>
                <w:highlight w:val="none"/>
                <w:lang w:eastAsia="zh-CN"/>
              </w:rPr>
              <w:t>碱法脱硫塔</w:t>
            </w:r>
            <w:r>
              <w:rPr>
                <w:rFonts w:hint="default" w:ascii="Times New Roman" w:hAnsi="Times New Roman" w:eastAsia="宋体" w:cs="Times New Roman"/>
                <w:color w:val="auto"/>
                <w:sz w:val="24"/>
                <w:szCs w:val="24"/>
                <w:highlight w:val="none"/>
              </w:rPr>
              <w:t>，脱硫废水经三级沉淀池沉淀后循环使用，不外排；由于生物质热风炉烟气温度较高，脱硫废水与生物质热风炉烟气直接接触时，脱硫废水由于烟气热量的作用成为</w:t>
            </w:r>
            <w:r>
              <w:rPr>
                <w:rFonts w:hint="default" w:ascii="Times New Roman" w:hAnsi="Times New Roman" w:eastAsia="宋体" w:cs="Times New Roman"/>
                <w:color w:val="auto"/>
                <w:sz w:val="24"/>
                <w:szCs w:val="24"/>
                <w:highlight w:val="none"/>
                <w:lang w:eastAsia="zh-CN"/>
              </w:rPr>
              <w:t>水蒸气</w:t>
            </w:r>
            <w:r>
              <w:rPr>
                <w:rFonts w:hint="default" w:ascii="Times New Roman" w:hAnsi="Times New Roman" w:eastAsia="宋体" w:cs="Times New Roman"/>
                <w:color w:val="auto"/>
                <w:sz w:val="24"/>
                <w:szCs w:val="24"/>
                <w:highlight w:val="none"/>
              </w:rPr>
              <w:t>随烟气外排。脱硫废水循环水量为</w:t>
            </w:r>
            <w:r>
              <w:rPr>
                <w:rFonts w:hint="default" w:ascii="Times New Roman" w:hAnsi="Times New Roman" w:eastAsia="宋体" w:cs="Times New Roman"/>
                <w:color w:val="auto"/>
                <w:sz w:val="24"/>
                <w:szCs w:val="24"/>
                <w:highlight w:val="none"/>
                <w:lang w:val="en-US" w:eastAsia="zh-CN"/>
              </w:rPr>
              <w:t>20</w:t>
            </w:r>
            <w:r>
              <w:rPr>
                <w:rFonts w:hint="default" w:ascii="Times New Roman" w:hAnsi="Times New Roman" w:eastAsia="宋体" w:cs="Times New Roman"/>
                <w:color w:val="auto"/>
                <w:sz w:val="24"/>
                <w:szCs w:val="24"/>
                <w:highlight w:val="none"/>
              </w:rPr>
              <w:t>0m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/d，蒸发损失量按</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%计，即</w:t>
            </w:r>
            <w:r>
              <w:rPr>
                <w:rFonts w:hint="default"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/d</w:t>
            </w:r>
            <w:r>
              <w:rPr>
                <w:rFonts w:hint="default" w:ascii="Times New Roman" w:hAnsi="Times New Roman" w:eastAsia="宋体" w:cs="Times New Roman"/>
                <w:color w:val="auto"/>
                <w:sz w:val="24"/>
                <w:szCs w:val="24"/>
                <w:highlight w:val="none"/>
                <w:lang w:val="en-US" w:eastAsia="zh-CN"/>
              </w:rPr>
              <w:t>；定期清掏脱硫石膏时，</w:t>
            </w:r>
            <w:r>
              <w:rPr>
                <w:rFonts w:hint="default" w:ascii="Times New Roman" w:hAnsi="Times New Roman" w:eastAsia="宋体" w:cs="Times New Roman"/>
                <w:color w:val="auto"/>
                <w:highlight w:val="none"/>
                <w:lang w:val="en-US" w:eastAsia="zh-CN"/>
              </w:rPr>
              <w:t>清</w:t>
            </w:r>
            <w:r>
              <w:rPr>
                <w:rFonts w:hint="default" w:ascii="Times New Roman" w:hAnsi="Times New Roman" w:eastAsia="宋体" w:cs="Times New Roman"/>
                <w:color w:val="auto"/>
                <w:sz w:val="24"/>
                <w:szCs w:val="24"/>
                <w:highlight w:val="none"/>
                <w:lang w:val="en-US" w:eastAsia="zh-CN"/>
              </w:rPr>
              <w:t>掏脱硫石膏会携带少量水，携带水量按0.3</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/d</w:t>
            </w:r>
            <w:r>
              <w:rPr>
                <w:rFonts w:hint="default" w:ascii="Times New Roman" w:hAnsi="Times New Roman" w:eastAsia="宋体" w:cs="Times New Roman"/>
                <w:color w:val="auto"/>
                <w:sz w:val="24"/>
                <w:szCs w:val="24"/>
                <w:highlight w:val="none"/>
                <w:lang w:val="en-US" w:eastAsia="zh-CN"/>
              </w:rPr>
              <w:t>计。则1座双碱法脱硫装置补水量合计为4.3</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/d</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则</w:t>
            </w:r>
            <w:r>
              <w:rPr>
                <w:rFonts w:hint="default" w:ascii="Times New Roman" w:hAnsi="Times New Roman" w:eastAsia="宋体" w:cs="Times New Roman"/>
                <w:color w:val="auto"/>
                <w:sz w:val="24"/>
                <w:szCs w:val="24"/>
                <w:highlight w:val="none"/>
              </w:rPr>
              <w:t>需补充水量为</w:t>
            </w:r>
            <w:r>
              <w:rPr>
                <w:rFonts w:hint="default" w:ascii="Times New Roman" w:hAnsi="Times New Roman" w:eastAsia="宋体" w:cs="Times New Roman"/>
                <w:color w:val="auto"/>
                <w:sz w:val="24"/>
                <w:szCs w:val="24"/>
                <w:highlight w:val="none"/>
                <w:lang w:val="en-US" w:eastAsia="zh-CN"/>
              </w:rPr>
              <w:t>4.3</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/d</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774</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/a）</w:t>
            </w:r>
            <w:r>
              <w:rPr>
                <w:rFonts w:hint="default" w:ascii="Times New Roman" w:hAnsi="Times New Roman" w:eastAsia="宋体" w:cs="Times New Roman"/>
                <w:color w:val="auto"/>
                <w:sz w:val="24"/>
                <w:szCs w:val="24"/>
                <w:highlight w:val="none"/>
                <w:lang w:eastAsia="zh-CN"/>
              </w:rPr>
              <w:t>。</w:t>
            </w:r>
          </w:p>
          <w:p>
            <w:pPr>
              <w:keepNext w:val="0"/>
              <w:keepLines w:val="0"/>
              <w:pageBreakBefore w:val="0"/>
              <w:kinsoku/>
              <w:wordWrap/>
              <w:overflowPunct/>
              <w:topLinePunct w:val="0"/>
              <w:bidi w:val="0"/>
              <w:spacing w:line="360" w:lineRule="auto"/>
              <w:ind w:left="0" w:leftChars="0" w:right="0" w:rightChars="0" w:firstLine="482" w:firstLineChars="200"/>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3.2</w:t>
            </w:r>
            <w:r>
              <w:rPr>
                <w:rFonts w:hint="default" w:ascii="Times New Roman" w:hAnsi="Times New Roman" w:eastAsia="宋体" w:cs="Times New Roman"/>
                <w:b/>
                <w:bCs/>
                <w:color w:val="auto"/>
                <w:sz w:val="24"/>
                <w:highlight w:val="none"/>
              </w:rPr>
              <w:t>排水</w:t>
            </w:r>
          </w:p>
          <w:p>
            <w:pPr>
              <w:keepNext w:val="0"/>
              <w:keepLines w:val="0"/>
              <w:pageBreakBefore w:val="0"/>
              <w:kinsoku/>
              <w:wordWrap/>
              <w:overflowPunct/>
              <w:topLinePunct w:val="0"/>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highlight w:val="none"/>
              </w:rPr>
              <w:t>锅炉定期排污水</w:t>
            </w:r>
          </w:p>
          <w:p>
            <w:pPr>
              <w:pStyle w:val="11"/>
              <w:keepNext w:val="0"/>
              <w:keepLines w:val="0"/>
              <w:pageBreakBefore w:val="0"/>
              <w:kinsoku/>
              <w:wordWrap/>
              <w:overflowPunct/>
              <w:topLinePunct w:val="0"/>
              <w:bidi w:val="0"/>
              <w:spacing w:line="360" w:lineRule="auto"/>
              <w:ind w:left="0" w:leftChars="0" w:right="0" w:rightChars="0" w:firstLine="480" w:firstLineChars="200"/>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改建项目</w:t>
            </w:r>
            <w:r>
              <w:rPr>
                <w:rFonts w:hint="default" w:ascii="Times New Roman" w:hAnsi="Times New Roman" w:eastAsia="宋体" w:cs="Times New Roman"/>
                <w:color w:val="auto"/>
                <w:highlight w:val="none"/>
              </w:rPr>
              <w:t>1台</w:t>
            </w:r>
            <w:r>
              <w:rPr>
                <w:rFonts w:hint="default" w:ascii="Times New Roman" w:hAnsi="Times New Roman" w:eastAsia="宋体" w:cs="Times New Roman"/>
                <w:color w:val="auto"/>
                <w:highlight w:val="none"/>
                <w:lang w:val="en-US" w:eastAsia="zh-CN"/>
              </w:rPr>
              <w:t>10</w:t>
            </w:r>
            <w:r>
              <w:rPr>
                <w:rFonts w:hint="default" w:ascii="Times New Roman" w:hAnsi="Times New Roman" w:eastAsia="宋体" w:cs="Times New Roman"/>
                <w:color w:val="auto"/>
                <w:highlight w:val="none"/>
                <w:lang w:eastAsia="zh-CN"/>
              </w:rPr>
              <w:t>t/h生物质热水锅炉定期排污水</w:t>
            </w:r>
            <w:r>
              <w:rPr>
                <w:rFonts w:hint="default" w:ascii="Times New Roman" w:hAnsi="Times New Roman" w:eastAsia="宋体" w:cs="Times New Roman"/>
                <w:color w:val="auto"/>
                <w:highlight w:val="none"/>
              </w:rPr>
              <w:t>按循环水量的2%计算，则</w:t>
            </w:r>
            <w:r>
              <w:rPr>
                <w:rFonts w:hint="default" w:ascii="Times New Roman" w:hAnsi="Times New Roman" w:eastAsia="宋体" w:cs="Times New Roman"/>
                <w:color w:val="auto"/>
                <w:highlight w:val="none"/>
                <w:lang w:eastAsia="zh-CN"/>
              </w:rPr>
              <w:t>锅炉定期排污水</w:t>
            </w:r>
            <w:r>
              <w:rPr>
                <w:rFonts w:hint="default" w:ascii="Times New Roman" w:hAnsi="Times New Roman" w:eastAsia="宋体" w:cs="Times New Roman"/>
                <w:color w:val="auto"/>
                <w:highlight w:val="none"/>
              </w:rPr>
              <w:t>排放量为</w:t>
            </w:r>
            <w:r>
              <w:rPr>
                <w:rFonts w:hint="default" w:ascii="Times New Roman" w:hAnsi="Times New Roman" w:eastAsia="宋体" w:cs="Times New Roman"/>
                <w:color w:val="auto"/>
                <w:sz w:val="24"/>
                <w:highlight w:val="none"/>
              </w:rPr>
              <w:t>0.</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/h（</w:t>
            </w:r>
            <w:r>
              <w:rPr>
                <w:rFonts w:hint="default" w:ascii="Times New Roman" w:hAnsi="Times New Roman" w:eastAsia="宋体" w:cs="Times New Roman"/>
                <w:color w:val="auto"/>
                <w:sz w:val="24"/>
                <w:highlight w:val="none"/>
                <w:lang w:val="en-US" w:eastAsia="zh-CN"/>
              </w:rPr>
              <w:t>4.8</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w:t>
            </w:r>
            <w:r>
              <w:rPr>
                <w:rFonts w:hint="default" w:ascii="Times New Roman" w:hAnsi="Times New Roman" w:eastAsia="宋体" w:cs="Times New Roman"/>
                <w:color w:val="auto"/>
                <w:sz w:val="24"/>
                <w:highlight w:val="none"/>
                <w:lang w:val="en-US" w:eastAsia="zh-CN"/>
              </w:rPr>
              <w:t>864</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highlight w:val="none"/>
              </w:rPr>
              <w:t>，直接用于灰渣库抑尘、厂区空地降尘洒水，不外排。</w:t>
            </w:r>
          </w:p>
          <w:p>
            <w:pPr>
              <w:keepNext w:val="0"/>
              <w:keepLines w:val="0"/>
              <w:pageBreakBefore w:val="0"/>
              <w:kinsoku/>
              <w:wordWrap/>
              <w:overflowPunct/>
              <w:topLinePunct w:val="0"/>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highlight w:val="none"/>
              </w:rPr>
              <w:t>软水制备废水</w:t>
            </w:r>
          </w:p>
          <w:p>
            <w:pPr>
              <w:pStyle w:val="11"/>
              <w:keepNext w:val="0"/>
              <w:keepLines w:val="0"/>
              <w:pageBreakBefore w:val="0"/>
              <w:kinsoku/>
              <w:wordWrap/>
              <w:overflowPunct/>
              <w:topLinePunct w:val="0"/>
              <w:bidi w:val="0"/>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改建项目</w:t>
            </w:r>
            <w:r>
              <w:rPr>
                <w:rFonts w:hint="default" w:ascii="Times New Roman" w:hAnsi="Times New Roman" w:eastAsia="宋体" w:cs="Times New Roman"/>
                <w:color w:val="auto"/>
                <w:sz w:val="24"/>
                <w:highlight w:val="none"/>
              </w:rPr>
              <w:t>软水制备装置排污量为</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w:t>
            </w:r>
            <w:r>
              <w:rPr>
                <w:rFonts w:hint="default" w:ascii="Times New Roman" w:hAnsi="Times New Roman" w:eastAsia="宋体" w:cs="Times New Roman"/>
                <w:color w:val="auto"/>
                <w:sz w:val="24"/>
                <w:highlight w:val="none"/>
                <w:lang w:val="en-US" w:eastAsia="zh-CN"/>
              </w:rPr>
              <w:t>540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/a），直接用于灰渣库抑尘、厂区空地降尘洒水，不外排。</w:t>
            </w:r>
          </w:p>
          <w:p>
            <w:pPr>
              <w:keepNext w:val="0"/>
              <w:keepLines w:val="0"/>
              <w:pageBreakBefore w:val="0"/>
              <w:widowControl/>
              <w:kinsoku/>
              <w:wordWrap/>
              <w:overflowPunct/>
              <w:topLinePunct w:val="0"/>
              <w:bidi w:val="0"/>
              <w:spacing w:line="360" w:lineRule="auto"/>
              <w:ind w:left="0" w:leftChars="0" w:right="0" w:rightChars="0" w:firstLine="480" w:firstLineChars="200"/>
              <w:textAlignment w:val="auto"/>
              <w:outlineLvl w:val="1"/>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eastAsia="zh-CN"/>
              </w:rPr>
              <w:t>）灰渣间抑尘废水</w:t>
            </w:r>
          </w:p>
          <w:p>
            <w:pPr>
              <w:keepNext w:val="0"/>
              <w:keepLines w:val="0"/>
              <w:pageBreakBefore w:val="0"/>
              <w:widowControl/>
              <w:kinsoku/>
              <w:wordWrap/>
              <w:overflowPunct/>
              <w:topLinePunct w:val="0"/>
              <w:bidi w:val="0"/>
              <w:spacing w:line="360" w:lineRule="auto"/>
              <w:ind w:left="0" w:leftChars="0" w:right="0" w:rightChars="0" w:firstLine="480" w:firstLineChars="200"/>
              <w:textAlignment w:val="auto"/>
              <w:outlineLvl w:val="1"/>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灰渣间抑尘用水</w:t>
            </w:r>
            <w:r>
              <w:rPr>
                <w:rFonts w:hint="default" w:ascii="Times New Roman" w:hAnsi="Times New Roman" w:eastAsia="宋体" w:cs="Times New Roman"/>
                <w:color w:val="auto"/>
                <w:sz w:val="24"/>
                <w:szCs w:val="24"/>
                <w:highlight w:val="none"/>
              </w:rPr>
              <w:t>全部被灰渣吸收，通过自然蒸发，无废水产生</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kinsoku/>
              <w:wordWrap/>
              <w:overflowPunct/>
              <w:topLinePunct w:val="0"/>
              <w:bidi w:val="0"/>
              <w:spacing w:line="360" w:lineRule="auto"/>
              <w:ind w:left="0" w:leftChars="0" w:right="0" w:rightChars="0" w:firstLine="480" w:firstLineChars="200"/>
              <w:textAlignment w:val="auto"/>
              <w:outlineLvl w:val="1"/>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eastAsia="zh-CN"/>
              </w:rPr>
              <w:t>）脱硫塔废</w:t>
            </w:r>
            <w:r>
              <w:rPr>
                <w:rFonts w:hint="default" w:ascii="Times New Roman" w:hAnsi="Times New Roman" w:eastAsia="宋体" w:cs="Times New Roman"/>
                <w:color w:val="auto"/>
                <w:sz w:val="24"/>
                <w:szCs w:val="24"/>
                <w:highlight w:val="none"/>
              </w:rPr>
              <w:t>水</w:t>
            </w:r>
          </w:p>
          <w:p>
            <w:pPr>
              <w:keepNext w:val="0"/>
              <w:keepLines w:val="0"/>
              <w:pageBreakBefore w:val="0"/>
              <w:widowControl/>
              <w:kinsoku/>
              <w:wordWrap/>
              <w:overflowPunct/>
              <w:topLinePunct w:val="0"/>
              <w:bidi w:val="0"/>
              <w:spacing w:line="360" w:lineRule="auto"/>
              <w:ind w:left="0" w:leftChars="0" w:right="0" w:rightChars="0" w:firstLine="480" w:firstLineChars="200"/>
              <w:textAlignment w:val="auto"/>
              <w:outlineLvl w:val="1"/>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双</w:t>
            </w:r>
            <w:r>
              <w:rPr>
                <w:rFonts w:hint="default" w:ascii="Times New Roman" w:hAnsi="Times New Roman" w:eastAsia="宋体" w:cs="Times New Roman"/>
                <w:color w:val="auto"/>
                <w:sz w:val="24"/>
                <w:szCs w:val="24"/>
                <w:highlight w:val="none"/>
                <w:lang w:eastAsia="zh-CN"/>
              </w:rPr>
              <w:t>碱法脱硫塔内脱硫废水</w:t>
            </w:r>
            <w:r>
              <w:rPr>
                <w:rFonts w:hint="default" w:ascii="Times New Roman" w:hAnsi="Times New Roman" w:eastAsia="宋体" w:cs="Times New Roman"/>
                <w:color w:val="auto"/>
                <w:sz w:val="24"/>
                <w:szCs w:val="24"/>
                <w:highlight w:val="none"/>
              </w:rPr>
              <w:t>循环使用，不外排</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kinsoku/>
              <w:wordWrap/>
              <w:overflowPunct/>
              <w:topLinePunct w:val="0"/>
              <w:bidi w:val="0"/>
              <w:spacing w:line="360" w:lineRule="auto"/>
              <w:ind w:left="0" w:leftChars="0" w:right="0" w:rightChars="0" w:firstLine="480" w:firstLineChars="200"/>
              <w:textAlignment w:val="auto"/>
              <w:outlineLvl w:val="1"/>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改建项目</w:t>
            </w:r>
            <w:r>
              <w:rPr>
                <w:rFonts w:hint="default" w:ascii="Times New Roman" w:hAnsi="Times New Roman" w:eastAsia="宋体" w:cs="Times New Roman"/>
                <w:color w:val="auto"/>
                <w:sz w:val="24"/>
                <w:highlight w:val="none"/>
              </w:rPr>
              <w:t>水平衡图见图2-1。</w:t>
            </w:r>
          </w:p>
          <w:p>
            <w:pPr>
              <w:snapToGrid w:val="0"/>
              <w:spacing w:line="360" w:lineRule="auto"/>
              <w:ind w:left="0" w:lef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object>
                <v:shape id="_x0000_i1025" o:spt="75" type="#_x0000_t75" style="height:192.7pt;width:337.3pt;" o:ole="t" filled="f" o:preferrelative="f" stroked="f" coordsize="21600,21600">
                  <v:path/>
                  <v:fill on="f" focussize="0,0"/>
                  <v:stroke on="f"/>
                  <v:imagedata r:id="rId13" o:title=""/>
                  <o:lock v:ext="edit" aspectratio="t"/>
                  <w10:wrap type="none"/>
                  <w10:anchorlock/>
                </v:shape>
                <o:OLEObject Type="Embed" ProgID="Visio.Drawing.11" ShapeID="_x0000_i1025" DrawAspect="Content" ObjectID="_1468075725" r:id="rId12">
                  <o:LockedField>false</o:LockedField>
                </o:OLEObject>
              </w:object>
            </w:r>
          </w:p>
          <w:p>
            <w:pPr>
              <w:snapToGrid w:val="0"/>
              <w:spacing w:line="360" w:lineRule="auto"/>
              <w:ind w:left="0" w:leftChars="0" w:firstLine="0" w:firstLine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图2-</w:t>
            </w:r>
            <w:r>
              <w:rPr>
                <w:rFonts w:hint="default" w:ascii="Times New Roman" w:hAnsi="Times New Roman" w:eastAsia="宋体" w:cs="Times New Roman"/>
                <w:b/>
                <w:bCs/>
                <w:color w:val="auto"/>
                <w:sz w:val="24"/>
                <w:highlight w:val="none"/>
                <w:lang w:val="en-US" w:eastAsia="zh-CN"/>
              </w:rPr>
              <w:t xml:space="preserve">1  </w:t>
            </w:r>
            <w:r>
              <w:rPr>
                <w:rFonts w:hint="default" w:ascii="Times New Roman" w:hAnsi="Times New Roman" w:eastAsia="宋体" w:cs="Times New Roman"/>
                <w:b/>
                <w:bCs/>
                <w:color w:val="auto"/>
                <w:sz w:val="24"/>
                <w:highlight w:val="none"/>
                <w:lang w:eastAsia="zh-CN"/>
              </w:rPr>
              <w:t>改建项目</w:t>
            </w:r>
            <w:r>
              <w:rPr>
                <w:rFonts w:hint="default" w:ascii="Times New Roman" w:hAnsi="Times New Roman" w:eastAsia="宋体" w:cs="Times New Roman"/>
                <w:b/>
                <w:bCs/>
                <w:color w:val="auto"/>
                <w:sz w:val="24"/>
                <w:highlight w:val="none"/>
              </w:rPr>
              <w:t>水平衡图</w:t>
            </w:r>
            <w:r>
              <w:rPr>
                <w:rFonts w:hint="default" w:ascii="Times New Roman" w:hAnsi="Times New Roman" w:eastAsia="宋体" w:cs="Times New Roman"/>
                <w:b/>
                <w:bCs/>
                <w:color w:val="auto"/>
                <w:sz w:val="24"/>
                <w:highlight w:val="none"/>
                <w:lang w:val="en-US" w:eastAsia="zh-CN"/>
              </w:rPr>
              <w:t xml:space="preserve">  </w:t>
            </w:r>
            <w:r>
              <w:rPr>
                <w:rFonts w:hint="default" w:ascii="Times New Roman" w:hAnsi="Times New Roman" w:eastAsia="宋体" w:cs="Times New Roman"/>
                <w:b/>
                <w:bCs/>
                <w:color w:val="auto"/>
                <w:sz w:val="24"/>
                <w:highlight w:val="none"/>
              </w:rPr>
              <w:t>单位m</w:t>
            </w:r>
            <w:r>
              <w:rPr>
                <w:rFonts w:hint="default" w:ascii="Times New Roman" w:hAnsi="Times New Roman" w:eastAsia="宋体" w:cs="Times New Roman"/>
                <w:b/>
                <w:bCs/>
                <w:color w:val="auto"/>
                <w:sz w:val="24"/>
                <w:highlight w:val="none"/>
                <w:vertAlign w:val="superscript"/>
              </w:rPr>
              <w:t>3</w:t>
            </w:r>
            <w:r>
              <w:rPr>
                <w:rFonts w:hint="default" w:ascii="Times New Roman" w:hAnsi="Times New Roman" w:eastAsia="宋体" w:cs="Times New Roman"/>
                <w:b/>
                <w:bCs/>
                <w:color w:val="auto"/>
                <w:sz w:val="24"/>
                <w:highlight w:val="none"/>
              </w:rPr>
              <w:t>/d</w:t>
            </w:r>
          </w:p>
          <w:p>
            <w:pPr>
              <w:keepNext w:val="0"/>
              <w:keepLines w:val="0"/>
              <w:pageBreakBefore w:val="0"/>
              <w:kinsoku/>
              <w:wordWrap/>
              <w:overflowPunct/>
              <w:topLinePunct w:val="0"/>
              <w:autoSpaceDE/>
              <w:autoSpaceDN/>
              <w:bidi w:val="0"/>
              <w:spacing w:line="360" w:lineRule="auto"/>
              <w:ind w:left="0" w:leftChars="0" w:right="0" w:rightChars="0" w:firstLine="482" w:firstLineChars="20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2.4.3供电</w:t>
            </w:r>
          </w:p>
          <w:p>
            <w:pPr>
              <w:keepNext w:val="0"/>
              <w:keepLines w:val="0"/>
              <w:pageBreakBefore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改建项目用电由小佘太镇电网接入供给，用电量为6.5</w:t>
            </w:r>
            <w:r>
              <w:rPr>
                <w:rFonts w:hint="default" w:ascii="Times New Roman" w:hAnsi="Times New Roman" w:eastAsia="宋体" w:cs="Times New Roman"/>
                <w:color w:val="auto"/>
                <w:sz w:val="24"/>
                <w:szCs w:val="24"/>
                <w:highlight w:val="none"/>
              </w:rPr>
              <w:t>×10</w:t>
            </w:r>
            <w:r>
              <w:rPr>
                <w:rFonts w:hint="default" w:ascii="Times New Roman" w:hAnsi="Times New Roman" w:eastAsia="宋体" w:cs="Times New Roman"/>
                <w:color w:val="auto"/>
                <w:sz w:val="24"/>
                <w:szCs w:val="24"/>
                <w:highlight w:val="none"/>
                <w:vertAlign w:val="superscript"/>
              </w:rPr>
              <w:t>4</w:t>
            </w:r>
            <w:r>
              <w:rPr>
                <w:rFonts w:hint="default" w:ascii="Times New Roman" w:hAnsi="Times New Roman" w:eastAsia="宋体" w:cs="Times New Roman"/>
                <w:color w:val="auto"/>
                <w:sz w:val="24"/>
                <w:szCs w:val="24"/>
                <w:highlight w:val="none"/>
                <w:lang w:val="en-US" w:eastAsia="zh-CN"/>
              </w:rPr>
              <w:t>kwh/a。</w:t>
            </w:r>
          </w:p>
          <w:p>
            <w:pPr>
              <w:keepNext w:val="0"/>
              <w:keepLines w:val="0"/>
              <w:pageBreakBefore w:val="0"/>
              <w:kinsoku/>
              <w:wordWrap/>
              <w:overflowPunct/>
              <w:topLinePunct w:val="0"/>
              <w:autoSpaceDE/>
              <w:autoSpaceDN/>
              <w:bidi w:val="0"/>
              <w:spacing w:line="360" w:lineRule="auto"/>
              <w:ind w:left="0" w:leftChars="0" w:right="0" w:rightChars="0" w:firstLine="482" w:firstLineChars="20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2.4.4供暖</w:t>
            </w:r>
          </w:p>
          <w:p>
            <w:pPr>
              <w:keepNext w:val="0"/>
              <w:keepLines w:val="0"/>
              <w:pageBreakBefore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改建项目</w:t>
            </w:r>
            <w:r>
              <w:rPr>
                <w:rFonts w:hint="default" w:ascii="Times New Roman" w:hAnsi="Times New Roman" w:eastAsia="宋体" w:cs="Times New Roman"/>
                <w:color w:val="auto"/>
                <w:kern w:val="0"/>
                <w:sz w:val="24"/>
                <w:szCs w:val="24"/>
                <w:highlight w:val="none"/>
              </w:rPr>
              <w:t>冬季</w:t>
            </w:r>
            <w:r>
              <w:rPr>
                <w:rFonts w:hint="default" w:ascii="Times New Roman" w:hAnsi="Times New Roman" w:eastAsia="宋体" w:cs="Times New Roman"/>
                <w:color w:val="auto"/>
                <w:kern w:val="0"/>
                <w:sz w:val="24"/>
                <w:szCs w:val="24"/>
                <w:highlight w:val="none"/>
                <w:lang w:eastAsia="zh-CN"/>
              </w:rPr>
              <w:t>采用</w:t>
            </w:r>
            <w:r>
              <w:rPr>
                <w:rFonts w:hint="default" w:ascii="Times New Roman" w:hAnsi="Times New Roman" w:eastAsia="宋体" w:cs="Times New Roman"/>
                <w:color w:val="auto"/>
                <w:kern w:val="0"/>
                <w:sz w:val="24"/>
                <w:szCs w:val="24"/>
                <w:highlight w:val="none"/>
                <w:lang w:val="en-US" w:eastAsia="zh-CN"/>
              </w:rPr>
              <w:t>生物质热水锅炉</w:t>
            </w:r>
            <w:r>
              <w:rPr>
                <w:rFonts w:hint="default" w:ascii="Times New Roman" w:hAnsi="Times New Roman" w:eastAsia="宋体" w:cs="Times New Roman"/>
                <w:color w:val="auto"/>
                <w:kern w:val="0"/>
                <w:sz w:val="24"/>
                <w:szCs w:val="24"/>
                <w:highlight w:val="none"/>
                <w:lang w:eastAsia="zh-CN"/>
              </w:rPr>
              <w:t>供暖；</w:t>
            </w:r>
            <w:r>
              <w:rPr>
                <w:rFonts w:hint="default" w:ascii="Times New Roman" w:hAnsi="Times New Roman" w:eastAsia="宋体" w:cs="Times New Roman"/>
                <w:color w:val="auto"/>
                <w:kern w:val="0"/>
                <w:sz w:val="24"/>
                <w:szCs w:val="24"/>
                <w:highlight w:val="none"/>
                <w:lang w:val="en-US" w:eastAsia="zh-CN"/>
              </w:rPr>
              <w:t>生物质热水锅炉出现故障不能及时提供热源时，启动备用设备燃煤热水锅炉。</w:t>
            </w:r>
          </w:p>
          <w:p>
            <w:pPr>
              <w:keepNext w:val="0"/>
              <w:keepLines w:val="0"/>
              <w:pageBreakBefore w:val="0"/>
              <w:kinsoku/>
              <w:wordWrap/>
              <w:overflowPunct/>
              <w:topLinePunct w:val="0"/>
              <w:autoSpaceDE/>
              <w:autoSpaceDN/>
              <w:bidi w:val="0"/>
              <w:spacing w:line="360" w:lineRule="auto"/>
              <w:ind w:left="0" w:leftChars="0" w:right="0" w:rightChars="0" w:firstLine="482" w:firstLineChars="20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lang w:val="en-US" w:eastAsia="zh-CN"/>
              </w:rPr>
              <w:t>2.5</w:t>
            </w:r>
            <w:r>
              <w:rPr>
                <w:rFonts w:hint="default" w:ascii="Times New Roman" w:hAnsi="Times New Roman" w:eastAsia="宋体" w:cs="Times New Roman"/>
                <w:b/>
                <w:bCs/>
                <w:color w:val="auto"/>
                <w:highlight w:val="none"/>
              </w:rPr>
              <w:t>厂区平面布置</w:t>
            </w:r>
          </w:p>
          <w:p>
            <w:pPr>
              <w:keepNext w:val="0"/>
              <w:keepLines w:val="0"/>
              <w:pageBreakBefore w:val="0"/>
              <w:widowControl/>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改建项目位于内蒙古巴彦淖尔市乌拉特前旗小佘太镇东五份子村矿区现有锅炉房内，不新增占地。项目厂区平面布置图见附图2。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07" w:type="dxa"/>
            <w:vAlign w:val="center"/>
          </w:tcPr>
          <w:p>
            <w:pPr>
              <w:pStyle w:val="17"/>
              <w:kinsoku/>
              <w:wordWrap/>
              <w:bidi w:val="0"/>
              <w:adjustRightInd w:val="0"/>
              <w:snapToGrid w:val="0"/>
              <w:spacing w:before="0" w:beforeAutospacing="0" w:after="0" w:afterAutospacing="0" w:line="360" w:lineRule="auto"/>
              <w:ind w:left="0" w:leftChars="0" w:right="0" w:rightChars="0" w:firstLine="0" w:firstLineChars="0"/>
              <w:jc w:val="center"/>
              <w:rPr>
                <w:rFonts w:hint="default" w:ascii="Times New Roman" w:hAnsi="Times New Roman" w:eastAsia="宋体" w:cs="Times New Roman"/>
                <w:color w:val="auto"/>
                <w:szCs w:val="24"/>
                <w:highlight w:val="none"/>
              </w:rPr>
            </w:pPr>
            <w:r>
              <w:rPr>
                <w:rFonts w:hint="default" w:ascii="Times New Roman" w:hAnsi="Times New Roman" w:eastAsia="宋体" w:cs="Times New Roman"/>
                <w:b/>
                <w:bCs/>
                <w:color w:val="auto"/>
                <w:szCs w:val="24"/>
                <w:highlight w:val="none"/>
              </w:rPr>
              <w:t>工艺流程和产排污环节</w:t>
            </w:r>
          </w:p>
        </w:tc>
        <w:tc>
          <w:tcPr>
            <w:tcW w:w="8158" w:type="dxa"/>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1、改建项目生产工艺流程及生产排污环节</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1.1生物质热水锅炉运行工艺</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生物质</w:t>
            </w:r>
            <w:r>
              <w:rPr>
                <w:rFonts w:hint="default" w:ascii="Times New Roman" w:hAnsi="Times New Roman" w:eastAsia="宋体" w:cs="Times New Roman"/>
                <w:color w:val="auto"/>
                <w:sz w:val="24"/>
                <w:szCs w:val="24"/>
                <w:highlight w:val="none"/>
              </w:rPr>
              <w:t>热水锅炉是利用燃料</w:t>
            </w:r>
            <w:r>
              <w:rPr>
                <w:rFonts w:hint="default" w:ascii="Times New Roman" w:hAnsi="Times New Roman" w:eastAsia="宋体" w:cs="Times New Roman"/>
                <w:color w:val="auto"/>
                <w:sz w:val="24"/>
                <w:szCs w:val="24"/>
                <w:highlight w:val="none"/>
                <w:lang w:eastAsia="zh-CN"/>
              </w:rPr>
              <w:t>（改建项目</w:t>
            </w:r>
            <w:r>
              <w:rPr>
                <w:rFonts w:hint="default" w:ascii="Times New Roman" w:hAnsi="Times New Roman" w:eastAsia="宋体" w:cs="Times New Roman"/>
                <w:color w:val="auto"/>
                <w:sz w:val="24"/>
                <w:szCs w:val="24"/>
                <w:highlight w:val="none"/>
              </w:rPr>
              <w:t>采用</w:t>
            </w:r>
            <w:r>
              <w:rPr>
                <w:rFonts w:hint="default" w:ascii="Times New Roman" w:hAnsi="Times New Roman" w:eastAsia="宋体" w:cs="Times New Roman"/>
                <w:color w:val="auto"/>
                <w:sz w:val="24"/>
                <w:szCs w:val="24"/>
                <w:highlight w:val="none"/>
                <w:lang w:eastAsia="zh-CN"/>
              </w:rPr>
              <w:t>生物质</w:t>
            </w:r>
            <w:r>
              <w:rPr>
                <w:rFonts w:hint="default" w:ascii="Times New Roman" w:hAnsi="Times New Roman" w:eastAsia="宋体" w:cs="Times New Roman"/>
                <w:color w:val="auto"/>
                <w:sz w:val="24"/>
                <w:szCs w:val="24"/>
                <w:highlight w:val="none"/>
                <w:lang w:val="en-US" w:eastAsia="zh-CN"/>
              </w:rPr>
              <w:t>燃料</w:t>
            </w:r>
            <w:r>
              <w:rPr>
                <w:rFonts w:hint="default" w:ascii="Times New Roman" w:hAnsi="Times New Roman" w:eastAsia="宋体" w:cs="Times New Roman"/>
                <w:color w:val="auto"/>
                <w:sz w:val="24"/>
                <w:szCs w:val="24"/>
                <w:highlight w:val="none"/>
              </w:rPr>
              <w:t>）燃烧释放的热能对容器内的水进行加热，使水达到所需温度</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热水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的一种热力设备。</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它是由锅炉本体附件仪表及附属设备构成的一个整体。锅炉在锅与炉两部分同时进行，生水进入锅炉以后，锅炉受热面将吸收的热量传递给水，把水加热成一定温度给用户生产供暖使用。燃烧机</w:t>
            </w:r>
            <w:r>
              <w:rPr>
                <w:rFonts w:hint="eastAsia" w:cs="Times New Roman"/>
                <w:color w:val="auto"/>
                <w:sz w:val="24"/>
                <w:szCs w:val="24"/>
                <w:highlight w:val="none"/>
                <w:lang w:eastAsia="zh-CN"/>
              </w:rPr>
              <w:t>不断地燃烧</w:t>
            </w:r>
            <w:r>
              <w:rPr>
                <w:rFonts w:hint="default" w:ascii="Times New Roman" w:hAnsi="Times New Roman" w:eastAsia="宋体" w:cs="Times New Roman"/>
                <w:color w:val="auto"/>
                <w:sz w:val="24"/>
                <w:szCs w:val="24"/>
                <w:highlight w:val="none"/>
              </w:rPr>
              <w:t>燃料</w:t>
            </w:r>
            <w:r>
              <w:rPr>
                <w:rFonts w:hint="eastAsia" w:cs="Times New Roman"/>
                <w:color w:val="auto"/>
                <w:sz w:val="24"/>
                <w:szCs w:val="24"/>
                <w:highlight w:val="none"/>
                <w:lang w:eastAsia="zh-CN"/>
              </w:rPr>
              <w:t>不断地放出</w:t>
            </w:r>
            <w:r>
              <w:rPr>
                <w:rFonts w:hint="default" w:ascii="Times New Roman" w:hAnsi="Times New Roman" w:eastAsia="宋体" w:cs="Times New Roman"/>
                <w:color w:val="auto"/>
                <w:sz w:val="24"/>
                <w:szCs w:val="24"/>
                <w:highlight w:val="none"/>
              </w:rPr>
              <w:t>热量，燃烧中产生的高温烟气通过热的传播，可以将热量传递给锅炉受热面，而本身温度逐渐降低，最后经过烟囱排出。锅与炉分工进行工作，一个吸热，一个放热，完美</w:t>
            </w:r>
            <w:r>
              <w:rPr>
                <w:rFonts w:hint="default" w:ascii="Times New Roman" w:hAnsi="Times New Roman" w:eastAsia="宋体" w:cs="Times New Roman"/>
                <w:color w:val="auto"/>
                <w:sz w:val="24"/>
                <w:szCs w:val="24"/>
                <w:highlight w:val="none"/>
                <w:lang w:eastAsia="zh-CN"/>
              </w:rPr>
              <w:t>地</w:t>
            </w:r>
            <w:r>
              <w:rPr>
                <w:rFonts w:hint="default" w:ascii="Times New Roman" w:hAnsi="Times New Roman" w:eastAsia="宋体" w:cs="Times New Roman"/>
                <w:color w:val="auto"/>
                <w:sz w:val="24"/>
                <w:szCs w:val="24"/>
                <w:highlight w:val="none"/>
              </w:rPr>
              <w:t>配合是密切联系的一个整体设备，缺一不可。</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热水锅炉在运行中由循环泵作动力。将水</w:t>
            </w:r>
            <w:r>
              <w:rPr>
                <w:rFonts w:hint="default" w:ascii="Times New Roman" w:hAnsi="Times New Roman" w:eastAsia="宋体" w:cs="Times New Roman"/>
                <w:color w:val="auto"/>
                <w:sz w:val="24"/>
                <w:szCs w:val="24"/>
                <w:highlight w:val="none"/>
                <w:lang w:eastAsia="zh-CN"/>
              </w:rPr>
              <w:t>不断的</w:t>
            </w:r>
            <w:r>
              <w:rPr>
                <w:rFonts w:hint="default" w:ascii="Times New Roman" w:hAnsi="Times New Roman" w:eastAsia="宋体" w:cs="Times New Roman"/>
                <w:color w:val="auto"/>
                <w:sz w:val="24"/>
                <w:szCs w:val="24"/>
                <w:highlight w:val="none"/>
              </w:rPr>
              <w:t>循环流动，不停</w:t>
            </w:r>
            <w:r>
              <w:rPr>
                <w:rFonts w:hint="default" w:ascii="Times New Roman" w:hAnsi="Times New Roman" w:eastAsia="宋体" w:cs="Times New Roman"/>
                <w:color w:val="auto"/>
                <w:sz w:val="24"/>
                <w:szCs w:val="24"/>
                <w:highlight w:val="none"/>
                <w:lang w:eastAsia="zh-CN"/>
              </w:rPr>
              <w:t>地</w:t>
            </w:r>
            <w:r>
              <w:rPr>
                <w:rFonts w:hint="default" w:ascii="Times New Roman" w:hAnsi="Times New Roman" w:eastAsia="宋体" w:cs="Times New Roman"/>
                <w:color w:val="auto"/>
                <w:sz w:val="24"/>
                <w:szCs w:val="24"/>
                <w:highlight w:val="none"/>
              </w:rPr>
              <w:t>将受热面吸收的热量全部传递给生水，使受热面得到良好的冷却，使水升温足部加快，从而保证了锅炉受热面在高温条件下安全的工作</w:t>
            </w:r>
            <w:r>
              <w:rPr>
                <w:rFonts w:hint="default" w:ascii="Times New Roman" w:hAnsi="Times New Roman" w:eastAsia="宋体" w:cs="Times New Roman"/>
                <w:color w:val="auto"/>
                <w:highlight w:val="none"/>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1台10t/h生物质热水锅炉产生的废气经旋风除尘器+布袋除尘器+双碱法脱硫塔处理后，由1根高40m排气筒排放。</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工艺流程图见下图</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object>
                <v:shape id="_x0000_i1026" o:spt="75" type="#_x0000_t75" style="height:301.15pt;width:413.25pt;" o:ole="t" filled="f" o:preferrelative="t" stroked="f" coordsize="21600,21600">
                  <v:path/>
                  <v:fill on="f" focussize="0,0"/>
                  <v:stroke on="f"/>
                  <v:imagedata r:id="rId15" o:title=""/>
                  <o:lock v:ext="edit" aspectratio="f"/>
                  <w10:wrap type="none"/>
                  <w10:anchorlock/>
                </v:shape>
                <o:OLEObject Type="Embed" ProgID="Visio.Drawing.11" ShapeID="_x0000_i1026" DrawAspect="Content" ObjectID="_1468075726" r:id="rId14">
                  <o:LockedField>false</o:LockedField>
                </o:OLEObject>
              </w:objec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eastAsia="zh-CN"/>
              </w:rPr>
              <w:t>图</w:t>
            </w:r>
            <w:r>
              <w:rPr>
                <w:rFonts w:hint="default" w:ascii="Times New Roman" w:hAnsi="Times New Roman" w:eastAsia="宋体" w:cs="Times New Roman"/>
                <w:b/>
                <w:bCs/>
                <w:color w:val="auto"/>
                <w:highlight w:val="none"/>
                <w:lang w:val="en-US" w:eastAsia="zh-CN"/>
              </w:rPr>
              <w:t>2-2  项目工艺产排污节点图</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2" w:firstLineChars="200"/>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lang w:eastAsia="zh-CN"/>
              </w:rPr>
              <w:t>改建项目生物质热水锅炉</w:t>
            </w:r>
            <w:r>
              <w:rPr>
                <w:rFonts w:hint="default" w:ascii="Times New Roman" w:hAnsi="Times New Roman" w:eastAsia="宋体" w:cs="Times New Roman"/>
                <w:b/>
                <w:color w:val="auto"/>
                <w:sz w:val="24"/>
                <w:szCs w:val="24"/>
                <w:highlight w:val="none"/>
              </w:rPr>
              <w:t>技术参数</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型号：</w:t>
            </w:r>
            <w:r>
              <w:rPr>
                <w:rFonts w:hint="default" w:ascii="Times New Roman" w:hAnsi="Times New Roman" w:eastAsia="宋体" w:cs="Times New Roman"/>
                <w:color w:val="auto"/>
                <w:sz w:val="24"/>
                <w:szCs w:val="24"/>
                <w:highlight w:val="none"/>
                <w:lang w:val="en-US" w:eastAsia="zh-CN"/>
              </w:rPr>
              <w:t>CD</w:t>
            </w:r>
            <w:r>
              <w:rPr>
                <w:rFonts w:hint="default" w:ascii="Times New Roman" w:hAnsi="Times New Roman" w:eastAsia="宋体" w:cs="Times New Roman"/>
                <w:color w:val="auto"/>
                <w:sz w:val="24"/>
                <w:szCs w:val="24"/>
                <w:highlight w:val="none"/>
                <w:vertAlign w:val="baseline"/>
                <w:lang w:val="en-US" w:eastAsia="zh-CN"/>
              </w:rPr>
              <w:t>ZL7.0-85/65-T/CDS7.010-00</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额定热功率：</w:t>
            </w:r>
            <w:r>
              <w:rPr>
                <w:rFonts w:hint="default" w:ascii="Times New Roman" w:hAnsi="Times New Roman" w:eastAsia="宋体" w:cs="Times New Roman"/>
                <w:color w:val="auto"/>
                <w:sz w:val="24"/>
                <w:szCs w:val="24"/>
                <w:highlight w:val="none"/>
                <w:lang w:val="en-US" w:eastAsia="zh-CN"/>
              </w:rPr>
              <w:t>7.0MW</w:t>
            </w:r>
            <w:r>
              <w:rPr>
                <w:rFonts w:hint="default" w:ascii="Times New Roman" w:hAnsi="Times New Roman" w:eastAsia="宋体" w:cs="Times New Roman"/>
                <w:color w:val="auto"/>
                <w:sz w:val="24"/>
                <w:szCs w:val="24"/>
                <w:highlight w:val="none"/>
              </w:rPr>
              <w:t>额定工作压力：0MPa</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额定出水温度：</w:t>
            </w:r>
            <w:r>
              <w:rPr>
                <w:rFonts w:hint="default" w:ascii="Times New Roman" w:hAnsi="Times New Roman" w:eastAsia="宋体" w:cs="Times New Roman"/>
                <w:color w:val="auto"/>
                <w:sz w:val="24"/>
                <w:szCs w:val="24"/>
                <w:highlight w:val="none"/>
                <w:lang w:val="en-US" w:eastAsia="zh-CN"/>
              </w:rPr>
              <w:t>85</w:t>
            </w:r>
            <w:r>
              <w:rPr>
                <w:rFonts w:hint="default" w:ascii="Times New Roman" w:hAnsi="Times New Roman" w:eastAsia="宋体" w:cs="Times New Roman"/>
                <w:color w:val="auto"/>
                <w:sz w:val="24"/>
                <w:szCs w:val="24"/>
                <w:highlight w:val="none"/>
              </w:rPr>
              <w:t>℃额定回水温度：</w:t>
            </w:r>
            <w:r>
              <w:rPr>
                <w:rFonts w:hint="default" w:ascii="Times New Roman" w:hAnsi="Times New Roman" w:eastAsia="宋体" w:cs="Times New Roman"/>
                <w:color w:val="auto"/>
                <w:sz w:val="24"/>
                <w:szCs w:val="24"/>
                <w:highlight w:val="none"/>
                <w:lang w:val="en-US" w:eastAsia="zh-CN"/>
              </w:rPr>
              <w:t>65</w:t>
            </w:r>
            <w:r>
              <w:rPr>
                <w:rFonts w:hint="default" w:ascii="Times New Roman" w:hAnsi="Times New Roman" w:eastAsia="宋体"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left"/>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设计燃料：生物质燃料消耗量；</w:t>
            </w:r>
            <w:r>
              <w:rPr>
                <w:rFonts w:hint="default" w:ascii="Times New Roman" w:hAnsi="Times New Roman" w:eastAsia="宋体" w:cs="Times New Roman"/>
                <w:color w:val="auto"/>
                <w:sz w:val="24"/>
                <w:szCs w:val="24"/>
                <w:highlight w:val="none"/>
                <w:lang w:val="en-US" w:eastAsia="zh-CN"/>
              </w:rPr>
              <w:t>2160t/a</w:t>
            </w:r>
          </w:p>
          <w:p>
            <w:pPr>
              <w:bidi w:val="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1.2脱硫除尘工艺</w:t>
            </w:r>
          </w:p>
          <w:p>
            <w:pPr>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eastAsia="zh-CN"/>
              </w:rPr>
              <w:t>）旋风除尘器除尘原理及工艺流程</w:t>
            </w:r>
          </w:p>
          <w:p>
            <w:pPr>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旋风除尘器主要是利用旋转气流产生的离心力，使含尘气流中的尘粒分离出来。当含尘气体通过旋风除尘器的进风口进入，沿切线方向进入除尘器筒体内，开始沿外壁向下旋转，形成所谓的“外涡旋”。在这个过程中，尘粒在离心力的作用下被甩向外壁，一旦与外壁接触，就失去惯性力，</w:t>
            </w:r>
            <w:r>
              <w:rPr>
                <w:rFonts w:hint="eastAsia" w:cs="Times New Roman"/>
                <w:color w:val="auto"/>
                <w:highlight w:val="none"/>
                <w:lang w:eastAsia="zh-CN"/>
              </w:rPr>
              <w:t>靠进口</w:t>
            </w:r>
            <w:r>
              <w:rPr>
                <w:rFonts w:hint="default" w:ascii="Times New Roman" w:hAnsi="Times New Roman" w:eastAsia="宋体" w:cs="Times New Roman"/>
                <w:color w:val="auto"/>
                <w:highlight w:val="none"/>
                <w:lang w:eastAsia="zh-CN"/>
              </w:rPr>
              <w:t>速度和向下重力的动量沿壁面下落，最终进入排灰管。</w:t>
            </w:r>
          </w:p>
          <w:p>
            <w:pPr>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同时，向下旋转的外涡旋气流到达锥体底部时，会转而向上沿轴心旋转，形成“内涡旋”，并最终从排气口排出。在这个过程中，未被捕集的细小尘粒也可能随气流一起排出。</w:t>
            </w:r>
          </w:p>
          <w:p>
            <w:pPr>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总的来说，旋风除尘器内部的气流运动包括外涡旋和内涡旋，这两种涡旋的旋转方向相同，通常都是顺时针或逆时针旋转。通过这种方式，旋风除尘器有效地从含尘气体中分离出尘粒，达到除尘的效果。</w:t>
            </w:r>
          </w:p>
          <w:p>
            <w:pPr>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布袋</w:t>
            </w:r>
            <w:r>
              <w:rPr>
                <w:rFonts w:hint="default" w:ascii="Times New Roman" w:hAnsi="Times New Roman" w:eastAsia="宋体" w:cs="Times New Roman"/>
                <w:color w:val="auto"/>
                <w:highlight w:val="none"/>
                <w:lang w:eastAsia="zh-CN"/>
              </w:rPr>
              <w:t>除尘器除尘原理及工艺流程</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布袋除尘器是基于过滤式除尘的方式，利用纤维编</w:t>
            </w:r>
            <w:r>
              <w:rPr>
                <w:rFonts w:hint="eastAsia" w:cs="Times New Roman"/>
                <w:color w:val="auto"/>
                <w:highlight w:val="none"/>
                <w:lang w:val="en-US" w:eastAsia="zh-CN"/>
              </w:rPr>
              <w:t>织</w:t>
            </w:r>
            <w:r>
              <w:rPr>
                <w:rFonts w:hint="default" w:ascii="Times New Roman" w:hAnsi="Times New Roman" w:eastAsia="宋体" w:cs="Times New Roman"/>
                <w:color w:val="auto"/>
                <w:highlight w:val="none"/>
                <w:lang w:val="en-US" w:eastAsia="zh-CN"/>
              </w:rPr>
              <w:t>物制作的袋式过滤元件来捕集含尘气体中的固体颗粒物。其主要包括以下几个步骤：</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含尘气体进入布袋除尘器，粉尘在绕过滤布纤维时因惯性力作用与纤维碰撞，被拦截或因重力作用沉积在滤袋的外表面或落入灰斗。这时，干净的气体通过滤料进入滤袋内部。</w:t>
            </w:r>
          </w:p>
          <w:p>
            <w:pPr>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随着时间的推移，滤袋表面的粉尘积累，需要进行清灰操作以保持除尘效率。清灰操作通常是通过使用脉冲喷吹装置，向滤袋内部喷射高压气流，使滤袋瞬间急剧膨胀，从而使积附在滤袋表面的粉尘脱落，落入灰斗中，经排灰系统排出机体。</w:t>
            </w:r>
          </w:p>
          <w:p>
            <w:pPr>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（3）双</w:t>
            </w:r>
            <w:r>
              <w:rPr>
                <w:rFonts w:hint="default" w:ascii="Times New Roman" w:hAnsi="Times New Roman" w:eastAsia="宋体" w:cs="Times New Roman"/>
                <w:color w:val="auto"/>
                <w:highlight w:val="none"/>
                <w:lang w:eastAsia="zh-CN"/>
              </w:rPr>
              <w:t>碱法脱硫塔</w:t>
            </w:r>
            <w:r>
              <w:rPr>
                <w:rFonts w:hint="default" w:ascii="Times New Roman" w:hAnsi="Times New Roman" w:eastAsia="宋体" w:cs="Times New Roman"/>
                <w:color w:val="auto"/>
                <w:highlight w:val="none"/>
                <w:lang w:val="en-US" w:eastAsia="zh-CN"/>
              </w:rPr>
              <w:t>脱硫</w:t>
            </w:r>
            <w:r>
              <w:rPr>
                <w:rFonts w:hint="default" w:ascii="Times New Roman" w:hAnsi="Times New Roman" w:eastAsia="宋体" w:cs="Times New Roman"/>
                <w:color w:val="auto"/>
                <w:highlight w:val="none"/>
                <w:lang w:eastAsia="zh-CN"/>
              </w:rPr>
              <w:t>除尘原理及工艺流程</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双碱法是采用钠基脱硫剂进行塔内脱硫，由于钠基脱硫剂碱性强，吸收二氧化硫后反应产物溶解度大，不会造成过饱和结晶，造成结垢堵塞问题。另一方面脱硫产物被排入再生池内用氢氧化钙进行还原再生，再生出的钠基脱硫剂再被打回脱硫塔循环使用。双碱法脱硫工艺降低了投资及运行费用，比较适用于中小型锅炉进行脱硫改造。</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双碱法烟气脱硫技术是利用氢氧化钠溶液作为启动脱硫剂，配制好的氢氧化钠溶液直接打入脱硫塔洗涤脱除烟气中SO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来达到烟气脱硫的目的，然后脱硫产物经脱硫剂再生池还原成氢氧化钠再打回脱硫塔内循环使用。脱硫工艺主要包括5个部分：（1）吸收剂制备与补充；（2）吸收剂浆液喷淋；（3）塔内雾滴与烟气接触混合；（4）再生池浆液还原钠基碱；（5）石膏脱水处理。</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双碱法烟气脱硫工艺同石灰石/石灰等其他湿法脱硫反应机理类似，主要反应为烟气中的SO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先溶解于吸收液中，然后离解成H</w:t>
            </w:r>
            <w:r>
              <w:rPr>
                <w:rFonts w:hint="default" w:ascii="Times New Roman" w:hAnsi="Times New Roman" w:eastAsia="宋体" w:cs="Times New Roman"/>
                <w:color w:val="auto"/>
                <w:sz w:val="24"/>
                <w:szCs w:val="24"/>
                <w:highlight w:val="none"/>
                <w:vertAlign w:val="superscript"/>
                <w:lang w:val="en-US" w:eastAsia="zh-CN"/>
              </w:rPr>
              <w:t>+</w:t>
            </w:r>
            <w:r>
              <w:rPr>
                <w:rFonts w:hint="default" w:ascii="Times New Roman" w:hAnsi="Times New Roman" w:eastAsia="宋体" w:cs="Times New Roman"/>
                <w:color w:val="auto"/>
                <w:sz w:val="24"/>
                <w:szCs w:val="24"/>
                <w:highlight w:val="none"/>
                <w:lang w:val="en-US" w:eastAsia="zh-CN"/>
              </w:rPr>
              <w:t>和HSO</w:t>
            </w:r>
            <w:r>
              <w:rPr>
                <w:rFonts w:hint="default" w:ascii="Times New Roman" w:hAnsi="Times New Roman" w:eastAsia="宋体" w:cs="Times New Roman"/>
                <w:color w:val="auto"/>
                <w:sz w:val="24"/>
                <w:szCs w:val="24"/>
                <w:highlight w:val="none"/>
                <w:vertAlign w:val="subscript"/>
                <w:lang w:val="en-US" w:eastAsia="zh-CN"/>
              </w:rPr>
              <w:t>3</w:t>
            </w:r>
            <w:r>
              <w:rPr>
                <w:rFonts w:hint="default" w:ascii="Times New Roman" w:hAnsi="Times New Roman" w:eastAsia="宋体" w:cs="Times New Roman"/>
                <w:color w:val="auto"/>
                <w:sz w:val="24"/>
                <w:szCs w:val="24"/>
                <w:highlight w:val="none"/>
                <w:vertAlign w:val="superscript"/>
                <w:lang w:val="en-US" w:eastAsia="zh-CN"/>
              </w:rPr>
              <w:t>-</w:t>
            </w:r>
            <w:r>
              <w:rPr>
                <w:rFonts w:hint="default" w:ascii="Times New Roman" w:hAnsi="Times New Roman" w:eastAsia="宋体" w:cs="Times New Roman"/>
                <w:color w:val="auto"/>
                <w:sz w:val="24"/>
                <w:szCs w:val="24"/>
                <w:highlight w:val="none"/>
                <w:lang w:val="en-US" w:eastAsia="zh-CN"/>
              </w:rPr>
              <w:t>；使用Na</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CO</w:t>
            </w:r>
            <w:r>
              <w:rPr>
                <w:rFonts w:hint="default" w:ascii="Times New Roman" w:hAnsi="Times New Roman" w:eastAsia="宋体" w:cs="Times New Roman"/>
                <w:color w:val="auto"/>
                <w:sz w:val="24"/>
                <w:szCs w:val="24"/>
                <w:highlight w:val="none"/>
                <w:vertAlign w:val="subscript"/>
                <w:lang w:val="en-US" w:eastAsia="zh-CN"/>
              </w:rPr>
              <w:t>3</w:t>
            </w:r>
            <w:r>
              <w:rPr>
                <w:rFonts w:hint="default" w:ascii="Times New Roman" w:hAnsi="Times New Roman" w:eastAsia="宋体" w:cs="Times New Roman"/>
                <w:color w:val="auto"/>
                <w:sz w:val="24"/>
                <w:szCs w:val="24"/>
                <w:highlight w:val="none"/>
                <w:lang w:val="en-US" w:eastAsia="zh-CN"/>
              </w:rPr>
              <w:t>或NaOH液吸收烟气中的SO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，生成HSO</w:t>
            </w:r>
            <w:r>
              <w:rPr>
                <w:rFonts w:hint="default" w:ascii="Times New Roman" w:hAnsi="Times New Roman" w:eastAsia="宋体" w:cs="Times New Roman"/>
                <w:color w:val="auto"/>
                <w:sz w:val="24"/>
                <w:szCs w:val="24"/>
                <w:highlight w:val="none"/>
                <w:vertAlign w:val="subscript"/>
                <w:lang w:val="en-US" w:eastAsia="zh-CN"/>
              </w:rPr>
              <w:t>3</w:t>
            </w:r>
            <w:r>
              <w:rPr>
                <w:rFonts w:hint="default" w:ascii="Times New Roman" w:hAnsi="Times New Roman" w:eastAsia="宋体" w:cs="Times New Roman"/>
                <w:color w:val="auto"/>
                <w:sz w:val="24"/>
                <w:szCs w:val="24"/>
                <w:highlight w:val="none"/>
                <w:vertAlign w:val="superscript"/>
                <w:lang w:val="en-US" w:eastAsia="zh-CN"/>
              </w:rPr>
              <w:t>-</w:t>
            </w:r>
            <w:r>
              <w:rPr>
                <w:rFonts w:hint="default" w:ascii="Times New Roman" w:hAnsi="Times New Roman" w:eastAsia="宋体" w:cs="Times New Roman"/>
                <w:color w:val="auto"/>
                <w:sz w:val="24"/>
                <w:szCs w:val="24"/>
                <w:highlight w:val="none"/>
                <w:lang w:val="en-US" w:eastAsia="zh-CN"/>
              </w:rPr>
              <w:t>、SO</w:t>
            </w:r>
            <w:r>
              <w:rPr>
                <w:rFonts w:hint="default" w:ascii="Times New Roman" w:hAnsi="Times New Roman" w:eastAsia="宋体" w:cs="Times New Roman"/>
                <w:color w:val="auto"/>
                <w:sz w:val="24"/>
                <w:szCs w:val="24"/>
                <w:highlight w:val="none"/>
                <w:vertAlign w:val="subscript"/>
                <w:lang w:val="en-US" w:eastAsia="zh-CN"/>
              </w:rPr>
              <w:t>3</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val="en-US" w:eastAsia="zh-CN"/>
              </w:rPr>
              <w:t>与SO</w:t>
            </w:r>
            <w:r>
              <w:rPr>
                <w:rFonts w:hint="default" w:ascii="Times New Roman" w:hAnsi="Times New Roman" w:eastAsia="宋体" w:cs="Times New Roman"/>
                <w:color w:val="auto"/>
                <w:sz w:val="24"/>
                <w:szCs w:val="24"/>
                <w:highlight w:val="none"/>
                <w:vertAlign w:val="subscript"/>
                <w:lang w:val="en-US" w:eastAsia="zh-CN"/>
              </w:rPr>
              <w:t>4</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val="en-US" w:eastAsia="zh-CN"/>
              </w:rPr>
              <w:t>，反应方程式如下：</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脱硫反应</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2NaOH+SO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→Na</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SO</w:t>
            </w:r>
            <w:r>
              <w:rPr>
                <w:rFonts w:hint="default" w:ascii="Times New Roman" w:hAnsi="Times New Roman" w:eastAsia="宋体" w:cs="Times New Roman"/>
                <w:color w:val="auto"/>
                <w:sz w:val="24"/>
                <w:szCs w:val="24"/>
                <w:highlight w:val="none"/>
                <w:vertAlign w:val="subscript"/>
                <w:lang w:val="en-US" w:eastAsia="zh-CN"/>
              </w:rPr>
              <w:t>3</w:t>
            </w:r>
            <w:r>
              <w:rPr>
                <w:rFonts w:hint="default" w:ascii="Times New Roman" w:hAnsi="Times New Roman" w:eastAsia="宋体" w:cs="Times New Roman"/>
                <w:color w:val="auto"/>
                <w:sz w:val="24"/>
                <w:szCs w:val="24"/>
                <w:highlight w:val="none"/>
                <w:lang w:val="en-US" w:eastAsia="zh-CN"/>
              </w:rPr>
              <w:t>+H</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O</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1</w:t>
            </w:r>
            <w:r>
              <w:rPr>
                <w:rFonts w:hint="eastAsia" w:cs="Times New Roman"/>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Na</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SO</w:t>
            </w:r>
            <w:r>
              <w:rPr>
                <w:rFonts w:hint="default" w:ascii="Times New Roman" w:hAnsi="Times New Roman" w:eastAsia="宋体" w:cs="Times New Roman"/>
                <w:color w:val="auto"/>
                <w:sz w:val="24"/>
                <w:szCs w:val="24"/>
                <w:highlight w:val="none"/>
                <w:vertAlign w:val="subscript"/>
                <w:lang w:val="en-US" w:eastAsia="zh-CN"/>
              </w:rPr>
              <w:t>3</w:t>
            </w:r>
            <w:r>
              <w:rPr>
                <w:rFonts w:hint="default" w:ascii="Times New Roman" w:hAnsi="Times New Roman" w:eastAsia="宋体" w:cs="Times New Roman"/>
                <w:color w:val="auto"/>
                <w:sz w:val="24"/>
                <w:szCs w:val="24"/>
                <w:highlight w:val="none"/>
                <w:lang w:val="en-US" w:eastAsia="zh-CN"/>
              </w:rPr>
              <w:t>+SO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+H</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O→2NaHSO</w:t>
            </w:r>
            <w:r>
              <w:rPr>
                <w:rFonts w:hint="default" w:ascii="Times New Roman" w:hAnsi="Times New Roman" w:eastAsia="宋体" w:cs="Times New Roman"/>
                <w:color w:val="auto"/>
                <w:sz w:val="24"/>
                <w:szCs w:val="24"/>
                <w:highlight w:val="none"/>
                <w:vertAlign w:val="subscript"/>
                <w:lang w:val="en-US" w:eastAsia="zh-CN"/>
              </w:rPr>
              <w:t>3</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2</w:t>
            </w:r>
            <w:r>
              <w:rPr>
                <w:rFonts w:hint="eastAsia" w:cs="Times New Roman"/>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其中：</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式（1）为再生液pH值较高时（高于9时），溶液吸收SO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的主反应；</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式（2）为溶液pH值较低（5~9）时的主反应。</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再生过程</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Ca(OH)</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+Na</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SO</w:t>
            </w:r>
            <w:r>
              <w:rPr>
                <w:rFonts w:hint="default" w:ascii="Times New Roman" w:hAnsi="Times New Roman" w:eastAsia="宋体" w:cs="Times New Roman"/>
                <w:color w:val="auto"/>
                <w:sz w:val="24"/>
                <w:szCs w:val="24"/>
                <w:highlight w:val="none"/>
                <w:vertAlign w:val="subscript"/>
                <w:lang w:val="en-US" w:eastAsia="zh-CN"/>
              </w:rPr>
              <w:t>3</w:t>
            </w:r>
            <w:r>
              <w:rPr>
                <w:rFonts w:hint="default" w:ascii="Times New Roman" w:hAnsi="Times New Roman" w:eastAsia="宋体" w:cs="Times New Roman"/>
                <w:color w:val="auto"/>
                <w:sz w:val="24"/>
                <w:szCs w:val="24"/>
                <w:highlight w:val="none"/>
                <w:lang w:val="en-US" w:eastAsia="zh-CN"/>
              </w:rPr>
              <w:t>→2NaOH+CaSO</w:t>
            </w:r>
            <w:r>
              <w:rPr>
                <w:rFonts w:hint="default" w:ascii="Times New Roman" w:hAnsi="Times New Roman" w:eastAsia="宋体" w:cs="Times New Roman"/>
                <w:color w:val="auto"/>
                <w:sz w:val="24"/>
                <w:szCs w:val="24"/>
                <w:highlight w:val="none"/>
                <w:vertAlign w:val="subscript"/>
                <w:lang w:val="en-US" w:eastAsia="zh-CN"/>
              </w:rPr>
              <w:t>3</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3</w:t>
            </w:r>
            <w:r>
              <w:rPr>
                <w:rFonts w:hint="eastAsia" w:cs="Times New Roman"/>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Ca(OH)</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+2NaHSO</w:t>
            </w:r>
            <w:r>
              <w:rPr>
                <w:rFonts w:hint="default" w:ascii="Times New Roman" w:hAnsi="Times New Roman" w:eastAsia="宋体" w:cs="Times New Roman"/>
                <w:color w:val="auto"/>
                <w:sz w:val="24"/>
                <w:szCs w:val="24"/>
                <w:highlight w:val="none"/>
                <w:vertAlign w:val="subscript"/>
                <w:lang w:val="en-US" w:eastAsia="zh-CN"/>
              </w:rPr>
              <w:t>3</w:t>
            </w:r>
            <w:r>
              <w:rPr>
                <w:rFonts w:hint="default" w:ascii="Times New Roman" w:hAnsi="Times New Roman" w:eastAsia="宋体" w:cs="Times New Roman"/>
                <w:color w:val="auto"/>
                <w:sz w:val="24"/>
                <w:szCs w:val="24"/>
                <w:highlight w:val="none"/>
                <w:lang w:val="en-US" w:eastAsia="zh-CN"/>
              </w:rPr>
              <w:t>→Na</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SO</w:t>
            </w:r>
            <w:r>
              <w:rPr>
                <w:rFonts w:hint="default" w:ascii="Times New Roman" w:hAnsi="Times New Roman" w:eastAsia="宋体" w:cs="Times New Roman"/>
                <w:color w:val="auto"/>
                <w:sz w:val="24"/>
                <w:szCs w:val="24"/>
                <w:highlight w:val="none"/>
                <w:vertAlign w:val="subscript"/>
                <w:lang w:val="en-US" w:eastAsia="zh-CN"/>
              </w:rPr>
              <w:t>3</w:t>
            </w:r>
            <w:r>
              <w:rPr>
                <w:rFonts w:hint="default" w:ascii="Times New Roman" w:hAnsi="Times New Roman" w:eastAsia="宋体" w:cs="Times New Roman"/>
                <w:color w:val="auto"/>
                <w:sz w:val="24"/>
                <w:szCs w:val="24"/>
                <w:highlight w:val="none"/>
                <w:lang w:val="en-US" w:eastAsia="zh-CN"/>
              </w:rPr>
              <w:t>+CaSO</w:t>
            </w:r>
            <w:r>
              <w:rPr>
                <w:rFonts w:hint="default" w:ascii="Times New Roman" w:hAnsi="Times New Roman" w:eastAsia="宋体" w:cs="Times New Roman"/>
                <w:color w:val="auto"/>
                <w:sz w:val="24"/>
                <w:szCs w:val="24"/>
                <w:highlight w:val="none"/>
                <w:vertAlign w:val="subscript"/>
                <w:lang w:val="en-US" w:eastAsia="zh-CN"/>
              </w:rPr>
              <w:t>3</w:t>
            </w:r>
            <w:r>
              <w:rPr>
                <w:rFonts w:hint="default" w:ascii="Times New Roman" w:hAnsi="Times New Roman" w:eastAsia="宋体" w:cs="Times New Roman"/>
                <w:color w:val="auto"/>
                <w:sz w:val="24"/>
                <w:szCs w:val="24"/>
                <w:highlight w:val="none"/>
                <w:vertAlign w:val="superscript"/>
                <w:lang w:val="en-US" w:eastAsia="zh-CN"/>
              </w:rPr>
              <w:t>.</w:t>
            </w:r>
            <w:r>
              <w:rPr>
                <w:rFonts w:hint="default" w:ascii="Times New Roman" w:hAnsi="Times New Roman" w:eastAsia="宋体" w:cs="Times New Roman"/>
                <w:color w:val="auto"/>
                <w:sz w:val="24"/>
                <w:szCs w:val="24"/>
                <w:highlight w:val="none"/>
                <w:lang w:val="en-US" w:eastAsia="zh-CN"/>
              </w:rPr>
              <w:t>1/2H</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O+3/2H</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O</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4</w:t>
            </w:r>
            <w:r>
              <w:rPr>
                <w:rFonts w:hint="eastAsia" w:cs="Times New Roman"/>
                <w:color w:val="auto"/>
                <w:sz w:val="24"/>
                <w:szCs w:val="24"/>
                <w:highlight w:val="none"/>
                <w:lang w:val="en-US" w:eastAsia="zh-CN"/>
              </w:rPr>
              <w:t>)</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3、氧化过程（副反应）</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CaSO</w:t>
            </w:r>
            <w:r>
              <w:rPr>
                <w:rFonts w:hint="default" w:ascii="Times New Roman" w:hAnsi="Times New Roman" w:eastAsia="宋体" w:cs="Times New Roman"/>
                <w:color w:val="auto"/>
                <w:sz w:val="24"/>
                <w:szCs w:val="24"/>
                <w:highlight w:val="none"/>
                <w:vertAlign w:val="subscript"/>
                <w:lang w:val="en-US" w:eastAsia="zh-CN"/>
              </w:rPr>
              <w:t>3</w:t>
            </w:r>
            <w:r>
              <w:rPr>
                <w:rFonts w:hint="default" w:ascii="Times New Roman" w:hAnsi="Times New Roman" w:eastAsia="宋体" w:cs="Times New Roman"/>
                <w:color w:val="auto"/>
                <w:sz w:val="24"/>
                <w:szCs w:val="24"/>
                <w:highlight w:val="none"/>
                <w:lang w:val="en-US" w:eastAsia="zh-CN"/>
              </w:rPr>
              <w:t>+1/2O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→CaSO</w:t>
            </w:r>
            <w:r>
              <w:rPr>
                <w:rFonts w:hint="default" w:ascii="Times New Roman" w:hAnsi="Times New Roman" w:eastAsia="宋体" w:cs="Times New Roman"/>
                <w:color w:val="auto"/>
                <w:sz w:val="24"/>
                <w:szCs w:val="24"/>
                <w:highlight w:val="none"/>
                <w:vertAlign w:val="subscript"/>
                <w:lang w:val="en-US" w:eastAsia="zh-CN"/>
              </w:rPr>
              <w:t>4</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5</w:t>
            </w:r>
            <w:r>
              <w:rPr>
                <w:rFonts w:hint="eastAsia" w:cs="Times New Roman"/>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4"/>
                <w:szCs w:val="24"/>
                <w:highlight w:val="none"/>
                <w:lang w:val="en-US" w:eastAsia="zh-CN"/>
              </w:rPr>
              <w:t>CaSO</w:t>
            </w:r>
            <w:r>
              <w:rPr>
                <w:rFonts w:hint="default" w:ascii="Times New Roman" w:hAnsi="Times New Roman" w:eastAsia="宋体" w:cs="Times New Roman"/>
                <w:color w:val="auto"/>
                <w:sz w:val="24"/>
                <w:szCs w:val="24"/>
                <w:highlight w:val="none"/>
                <w:vertAlign w:val="subscript"/>
                <w:lang w:val="en-US" w:eastAsia="zh-CN"/>
              </w:rPr>
              <w:t>3</w:t>
            </w:r>
            <w:r>
              <w:rPr>
                <w:rFonts w:hint="default" w:ascii="Times New Roman" w:hAnsi="Times New Roman" w:eastAsia="宋体" w:cs="Times New Roman"/>
                <w:color w:val="auto"/>
                <w:sz w:val="24"/>
                <w:szCs w:val="24"/>
                <w:highlight w:val="none"/>
                <w:vertAlign w:val="superscript"/>
                <w:lang w:val="en-US" w:eastAsia="zh-CN"/>
              </w:rPr>
              <w:t>.</w:t>
            </w:r>
            <w:r>
              <w:rPr>
                <w:rFonts w:hint="default" w:ascii="Times New Roman" w:hAnsi="Times New Roman" w:eastAsia="宋体" w:cs="Times New Roman"/>
                <w:color w:val="auto"/>
                <w:sz w:val="24"/>
                <w:szCs w:val="24"/>
                <w:highlight w:val="none"/>
                <w:lang w:val="en-US" w:eastAsia="zh-CN"/>
              </w:rPr>
              <w:t>1/2H</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O+1/2O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→CaSO</w:t>
            </w:r>
            <w:r>
              <w:rPr>
                <w:rFonts w:hint="default" w:ascii="Times New Roman" w:hAnsi="Times New Roman" w:eastAsia="宋体" w:cs="Times New Roman"/>
                <w:color w:val="auto"/>
                <w:sz w:val="24"/>
                <w:szCs w:val="24"/>
                <w:highlight w:val="none"/>
                <w:vertAlign w:val="subscript"/>
                <w:lang w:val="en-US" w:eastAsia="zh-CN"/>
              </w:rPr>
              <w:t>4</w:t>
            </w:r>
            <w:r>
              <w:rPr>
                <w:rFonts w:hint="default" w:ascii="Times New Roman" w:hAnsi="Times New Roman" w:eastAsia="宋体" w:cs="Times New Roman"/>
                <w:color w:val="auto"/>
                <w:sz w:val="24"/>
                <w:szCs w:val="24"/>
                <w:highlight w:val="none"/>
                <w:lang w:val="en-US" w:eastAsia="zh-CN"/>
              </w:rPr>
              <w:t>+1/2H</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O</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6</w:t>
            </w:r>
            <w:r>
              <w:rPr>
                <w:rFonts w:hint="eastAsia" w:cs="Times New Roman"/>
                <w:color w:val="auto"/>
                <w:sz w:val="24"/>
                <w:szCs w:val="24"/>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07" w:type="dxa"/>
            <w:vAlign w:val="center"/>
          </w:tcPr>
          <w:p>
            <w:pPr>
              <w:pStyle w:val="17"/>
              <w:kinsoku/>
              <w:wordWrap/>
              <w:bidi w:val="0"/>
              <w:adjustRightInd w:val="0"/>
              <w:snapToGrid w:val="0"/>
              <w:spacing w:before="0" w:beforeAutospacing="0" w:after="0" w:afterAutospacing="0" w:line="360" w:lineRule="auto"/>
              <w:ind w:left="0" w:leftChars="0" w:right="0" w:rightChars="0" w:firstLine="0" w:firstLineChars="0"/>
              <w:jc w:val="center"/>
              <w:rPr>
                <w:rFonts w:hint="default" w:ascii="Times New Roman" w:hAnsi="Times New Roman" w:eastAsia="宋体" w:cs="Times New Roman"/>
                <w:b/>
                <w:bCs/>
                <w:color w:val="auto"/>
                <w:szCs w:val="24"/>
                <w:highlight w:val="none"/>
              </w:rPr>
            </w:pPr>
            <w:r>
              <w:rPr>
                <w:rFonts w:hint="default" w:ascii="Times New Roman" w:hAnsi="Times New Roman" w:eastAsia="宋体" w:cs="Times New Roman"/>
                <w:b/>
                <w:bCs/>
                <w:color w:val="auto"/>
                <w:kern w:val="2"/>
                <w:szCs w:val="24"/>
                <w:highlight w:val="none"/>
              </w:rPr>
              <w:t>与项目有关的原有环境污染问题</w:t>
            </w:r>
          </w:p>
        </w:tc>
        <w:tc>
          <w:tcPr>
            <w:tcW w:w="8158" w:type="dxa"/>
          </w:tcPr>
          <w:p>
            <w:pPr>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b/>
                <w:bCs/>
                <w:color w:val="auto"/>
                <w:highlight w:val="none"/>
                <w:lang w:val="en-US" w:eastAsia="zh-CN"/>
              </w:rPr>
              <w:t>1、现有项目</w:t>
            </w:r>
            <w:r>
              <w:rPr>
                <w:rFonts w:hint="default" w:ascii="Times New Roman" w:hAnsi="Times New Roman" w:eastAsia="宋体" w:cs="Times New Roman"/>
                <w:b/>
                <w:bCs/>
                <w:color w:val="auto"/>
                <w:highlight w:val="none"/>
              </w:rPr>
              <w:t>履行环境影响评价、竣工环境保护验收</w:t>
            </w:r>
            <w:r>
              <w:rPr>
                <w:rFonts w:hint="default" w:ascii="Times New Roman" w:hAnsi="Times New Roman" w:eastAsia="宋体" w:cs="Times New Roman"/>
                <w:b/>
                <w:bCs/>
                <w:color w:val="auto"/>
                <w:highlight w:val="none"/>
                <w:lang w:eastAsia="zh-CN"/>
              </w:rPr>
              <w:t>情况</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现有项目</w:t>
            </w:r>
            <w:r>
              <w:rPr>
                <w:rFonts w:hint="default" w:ascii="Times New Roman" w:hAnsi="Times New Roman" w:eastAsia="宋体" w:cs="Times New Roman"/>
                <w:color w:val="auto"/>
                <w:highlight w:val="none"/>
                <w:lang w:val="en-US" w:eastAsia="zh-CN"/>
              </w:rPr>
              <w:t>环保手续</w:t>
            </w:r>
            <w:r>
              <w:rPr>
                <w:rFonts w:hint="default" w:ascii="Times New Roman" w:hAnsi="Times New Roman" w:eastAsia="宋体" w:cs="Times New Roman"/>
                <w:color w:val="auto"/>
                <w:highlight w:val="none"/>
              </w:rPr>
              <w:t>执行情况见</w:t>
            </w:r>
            <w:r>
              <w:rPr>
                <w:rFonts w:hint="default" w:ascii="Times New Roman" w:hAnsi="Times New Roman" w:eastAsia="宋体" w:cs="Times New Roman"/>
                <w:color w:val="auto"/>
                <w:highlight w:val="none"/>
                <w:lang w:eastAsia="zh-CN"/>
              </w:rPr>
              <w:t>下表</w:t>
            </w:r>
            <w:r>
              <w:rPr>
                <w:rFonts w:hint="default" w:ascii="Times New Roman" w:hAnsi="Times New Roman" w:eastAsia="宋体" w:cs="Times New Roman"/>
                <w:color w:val="auto"/>
                <w:highlight w:val="none"/>
                <w:lang w:val="en-US" w:eastAsia="zh-CN"/>
              </w:rPr>
              <w:t>2-8</w:t>
            </w:r>
            <w:r>
              <w:rPr>
                <w:rFonts w:hint="default" w:ascii="Times New Roman" w:hAnsi="Times New Roman" w:eastAsia="宋体" w:cs="Times New Roman"/>
                <w:color w:val="auto"/>
                <w:highlight w:val="none"/>
              </w:rPr>
              <w:t>。</w:t>
            </w:r>
          </w:p>
          <w:p>
            <w:pPr>
              <w:bidi w:val="0"/>
              <w:ind w:left="0" w:leftChars="0" w:firstLine="0" w:firstLineChars="0"/>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表2-8  现有项目环评及备案执行情况</w:t>
            </w:r>
          </w:p>
          <w:tbl>
            <w:tblPr>
              <w:tblStyle w:val="20"/>
              <w:tblW w:w="81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21"/>
              <w:gridCol w:w="1621"/>
              <w:gridCol w:w="1621"/>
              <w:gridCol w:w="1622"/>
              <w:gridCol w:w="16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dxa"/>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项目名称</w:t>
                  </w:r>
                </w:p>
              </w:tc>
              <w:tc>
                <w:tcPr>
                  <w:tcW w:w="1621" w:type="dxa"/>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锅炉建设情况</w:t>
                  </w:r>
                </w:p>
              </w:tc>
              <w:tc>
                <w:tcPr>
                  <w:tcW w:w="4865" w:type="dxa"/>
                  <w:gridSpan w:val="3"/>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环评及验收执行情况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p>
              </w:tc>
              <w:tc>
                <w:tcPr>
                  <w:tcW w:w="1621"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p>
              </w:tc>
              <w:tc>
                <w:tcPr>
                  <w:tcW w:w="162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审批单位</w:t>
                  </w:r>
                </w:p>
              </w:tc>
              <w:tc>
                <w:tcPr>
                  <w:tcW w:w="1622"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批准文号</w:t>
                  </w:r>
                </w:p>
              </w:tc>
              <w:tc>
                <w:tcPr>
                  <w:tcW w:w="1622"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审批日期/完成日期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dxa"/>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大中矿业股份有限公司</w:t>
                  </w:r>
                  <w:r>
                    <w:rPr>
                      <w:rFonts w:hint="default" w:ascii="Times New Roman" w:hAnsi="Times New Roman" w:eastAsia="宋体" w:cs="Times New Roman"/>
                      <w:b w:val="0"/>
                      <w:bCs w:val="0"/>
                      <w:color w:val="auto"/>
                      <w:sz w:val="21"/>
                      <w:szCs w:val="21"/>
                      <w:highlight w:val="none"/>
                      <w:vertAlign w:val="baseline"/>
                      <w:lang w:val="en-US" w:eastAsia="zh-CN"/>
                    </w:rPr>
                    <w:t>东五份子铁矿选矿厂工程</w:t>
                  </w:r>
                </w:p>
              </w:tc>
              <w:tc>
                <w:tcPr>
                  <w:tcW w:w="1621" w:type="dxa"/>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162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原巴彦淖尔市环境保护局</w:t>
                  </w:r>
                </w:p>
              </w:tc>
              <w:tc>
                <w:tcPr>
                  <w:tcW w:w="1622"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巴环审发〔2007〕58号</w:t>
                  </w:r>
                </w:p>
              </w:tc>
              <w:tc>
                <w:tcPr>
                  <w:tcW w:w="1622"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2007年1月30日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621"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62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原巴彦淖尔市环保局</w:t>
                  </w:r>
                </w:p>
              </w:tc>
              <w:tc>
                <w:tcPr>
                  <w:tcW w:w="1622"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环验</w:t>
                  </w:r>
                  <w:r>
                    <w:rPr>
                      <w:rFonts w:hint="eastAsia" w:cs="Times New Roman"/>
                      <w:b w:val="0"/>
                      <w:bCs w:val="0"/>
                      <w:color w:val="auto"/>
                      <w:sz w:val="21"/>
                      <w:szCs w:val="21"/>
                      <w:highlight w:val="none"/>
                      <w:vertAlign w:val="baseline"/>
                      <w:lang w:val="en-US" w:eastAsia="zh-CN"/>
                    </w:rPr>
                    <w:t>〔2008〕7号</w:t>
                  </w:r>
                </w:p>
              </w:tc>
              <w:tc>
                <w:tcPr>
                  <w:tcW w:w="1622"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2008年3月10日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dxa"/>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大中矿业股份有限公司</w:t>
                  </w:r>
                  <w:r>
                    <w:rPr>
                      <w:rFonts w:hint="default" w:ascii="Times New Roman" w:hAnsi="Times New Roman" w:eastAsia="宋体" w:cs="Times New Roman"/>
                      <w:b w:val="0"/>
                      <w:bCs w:val="0"/>
                      <w:color w:val="auto"/>
                      <w:sz w:val="21"/>
                      <w:szCs w:val="21"/>
                      <w:highlight w:val="none"/>
                      <w:vertAlign w:val="baseline"/>
                      <w:lang w:val="en-US" w:eastAsia="zh-CN"/>
                    </w:rPr>
                    <w:t>东五份子铁矿150万吨/年采矿扩建</w:t>
                  </w:r>
                  <w:r>
                    <w:rPr>
                      <w:rFonts w:hint="default" w:ascii="Times New Roman" w:hAnsi="Times New Roman" w:eastAsia="宋体" w:cs="Times New Roman"/>
                      <w:color w:val="auto"/>
                      <w:sz w:val="21"/>
                      <w:szCs w:val="21"/>
                      <w:highlight w:val="none"/>
                      <w:lang w:val="zh-CN" w:eastAsia="zh-CN" w:bidi="zh-CN"/>
                    </w:rPr>
                    <w:t>工程</w:t>
                  </w:r>
                </w:p>
              </w:tc>
              <w:tc>
                <w:tcPr>
                  <w:tcW w:w="1621" w:type="dxa"/>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建设3台4t/h的燃煤热水锅炉</w:t>
                  </w:r>
                </w:p>
              </w:tc>
              <w:tc>
                <w:tcPr>
                  <w:tcW w:w="162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原内蒙古自治区环境保护厅</w:t>
                  </w:r>
                </w:p>
              </w:tc>
              <w:tc>
                <w:tcPr>
                  <w:tcW w:w="1622"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内环审</w:t>
                  </w:r>
                  <w:r>
                    <w:rPr>
                      <w:rFonts w:hint="eastAsia" w:cs="Times New Roman"/>
                      <w:b w:val="0"/>
                      <w:bCs w:val="0"/>
                      <w:color w:val="auto"/>
                      <w:sz w:val="21"/>
                      <w:szCs w:val="21"/>
                      <w:highlight w:val="none"/>
                      <w:vertAlign w:val="baseline"/>
                      <w:lang w:val="en-US" w:eastAsia="zh-CN"/>
                    </w:rPr>
                    <w:t>〔2011〕333号</w:t>
                  </w:r>
                </w:p>
              </w:tc>
              <w:tc>
                <w:tcPr>
                  <w:tcW w:w="1622"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2011年10月25日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zh-CN" w:eastAsia="zh-CN" w:bidi="zh-CN"/>
                    </w:rPr>
                  </w:pPr>
                </w:p>
              </w:tc>
              <w:tc>
                <w:tcPr>
                  <w:tcW w:w="1621"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zh-CN" w:eastAsia="zh-CN" w:bidi="zh-CN"/>
                    </w:rPr>
                  </w:pPr>
                </w:p>
              </w:tc>
              <w:tc>
                <w:tcPr>
                  <w:tcW w:w="162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zh-CN"/>
                    </w:rPr>
                  </w:pPr>
                  <w:r>
                    <w:rPr>
                      <w:rFonts w:hint="default" w:ascii="Times New Roman" w:hAnsi="Times New Roman" w:eastAsia="宋体" w:cs="Times New Roman"/>
                      <w:b w:val="0"/>
                      <w:bCs w:val="0"/>
                      <w:color w:val="auto"/>
                      <w:sz w:val="21"/>
                      <w:szCs w:val="21"/>
                      <w:highlight w:val="none"/>
                      <w:vertAlign w:val="baseline"/>
                      <w:lang w:val="en-US" w:eastAsia="zh-CN"/>
                    </w:rPr>
                    <w:t>巴彦淖尔市生态环境局</w:t>
                  </w:r>
                </w:p>
              </w:tc>
              <w:tc>
                <w:tcPr>
                  <w:tcW w:w="1622"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zh-CN"/>
                    </w:rPr>
                  </w:pPr>
                  <w:r>
                    <w:rPr>
                      <w:rFonts w:hint="default" w:ascii="Times New Roman" w:hAnsi="Times New Roman" w:eastAsia="宋体" w:cs="Times New Roman"/>
                      <w:b w:val="0"/>
                      <w:bCs w:val="0"/>
                      <w:color w:val="auto"/>
                      <w:sz w:val="21"/>
                      <w:szCs w:val="21"/>
                      <w:highlight w:val="none"/>
                      <w:vertAlign w:val="baseline"/>
                      <w:lang w:val="en-US" w:eastAsia="zh-CN"/>
                    </w:rPr>
                    <w:t>巴环验</w:t>
                  </w:r>
                  <w:r>
                    <w:rPr>
                      <w:rFonts w:hint="eastAsia" w:cs="Times New Roman"/>
                      <w:b w:val="0"/>
                      <w:bCs w:val="0"/>
                      <w:color w:val="auto"/>
                      <w:sz w:val="21"/>
                      <w:szCs w:val="21"/>
                      <w:highlight w:val="none"/>
                      <w:vertAlign w:val="baseline"/>
                      <w:lang w:val="en-US" w:eastAsia="zh-CN"/>
                    </w:rPr>
                    <w:t>〔2020〕2号</w:t>
                  </w:r>
                </w:p>
              </w:tc>
              <w:tc>
                <w:tcPr>
                  <w:tcW w:w="1622"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zh-CN"/>
                    </w:rPr>
                  </w:pPr>
                  <w:r>
                    <w:rPr>
                      <w:rFonts w:hint="default" w:ascii="Times New Roman" w:hAnsi="Times New Roman" w:eastAsia="宋体" w:cs="Times New Roman"/>
                      <w:b w:val="0"/>
                      <w:bCs w:val="0"/>
                      <w:color w:val="auto"/>
                      <w:sz w:val="21"/>
                      <w:szCs w:val="21"/>
                      <w:highlight w:val="none"/>
                      <w:vertAlign w:val="baseline"/>
                      <w:lang w:val="en-US" w:eastAsia="zh-CN"/>
                    </w:rPr>
                    <w:t>2020年3月2日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大中矿业股份有限公司</w:t>
                  </w:r>
                  <w:r>
                    <w:rPr>
                      <w:rFonts w:hint="default" w:ascii="Times New Roman" w:hAnsi="Times New Roman" w:eastAsia="宋体" w:cs="Times New Roman"/>
                      <w:color w:val="auto"/>
                      <w:sz w:val="21"/>
                      <w:szCs w:val="21"/>
                      <w:highlight w:val="none"/>
                      <w:lang w:val="en-US" w:eastAsia="zh-CN"/>
                    </w:rPr>
                    <w:t>排污许可登记</w:t>
                  </w:r>
                </w:p>
              </w:tc>
              <w:tc>
                <w:tcPr>
                  <w:tcW w:w="162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62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巴彦淖尔市生态环境局</w:t>
                  </w:r>
                </w:p>
              </w:tc>
              <w:tc>
                <w:tcPr>
                  <w:tcW w:w="1622"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91150800701444800H001V</w:t>
                  </w:r>
                </w:p>
              </w:tc>
              <w:tc>
                <w:tcPr>
                  <w:tcW w:w="1622"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2020年5月19日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大中矿业股份有限公司</w:t>
                  </w:r>
                  <w:r>
                    <w:rPr>
                      <w:rFonts w:hint="default" w:ascii="Times New Roman" w:hAnsi="Times New Roman" w:eastAsia="宋体" w:cs="Times New Roman"/>
                      <w:color w:val="auto"/>
                      <w:sz w:val="21"/>
                      <w:szCs w:val="21"/>
                      <w:highlight w:val="none"/>
                      <w:lang w:val="en-US" w:eastAsia="zh-CN"/>
                    </w:rPr>
                    <w:t>环境应急风险</w:t>
                  </w:r>
                </w:p>
              </w:tc>
              <w:tc>
                <w:tcPr>
                  <w:tcW w:w="162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62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巴彦淖尔市生态环境局乌拉特前旗分局</w:t>
                  </w:r>
                </w:p>
              </w:tc>
              <w:tc>
                <w:tcPr>
                  <w:tcW w:w="1622"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150823-2023-H26-L</w:t>
                  </w:r>
                </w:p>
              </w:tc>
              <w:tc>
                <w:tcPr>
                  <w:tcW w:w="1622"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2023年12月12日</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2、现有项目污染物产排情况</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2.1废气</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（1）锅炉废气</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现有项目燃煤热水锅炉废气经布袋除尘器+双碱法脱硫塔处理后，由1根40m高的排气筒进行排放。</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根据</w:t>
            </w:r>
            <w:r>
              <w:rPr>
                <w:rFonts w:hint="default" w:ascii="Times New Roman" w:hAnsi="Times New Roman" w:eastAsia="宋体" w:cs="Times New Roman"/>
                <w:color w:val="auto"/>
                <w:highlight w:val="none"/>
                <w:lang w:val="en-US" w:eastAsia="zh-CN"/>
              </w:rPr>
              <w:t>包头市智广环境技术服务有限公司出具的2023年</w:t>
            </w:r>
            <w:r>
              <w:rPr>
                <w:rFonts w:hint="eastAsia" w:cs="Times New Roman"/>
                <w:color w:val="auto"/>
                <w:highlight w:val="none"/>
                <w:lang w:val="en-US" w:eastAsia="zh-CN"/>
              </w:rPr>
              <w:t>大中矿业股份有限公司</w:t>
            </w:r>
            <w:r>
              <w:rPr>
                <w:rFonts w:hint="default" w:ascii="Times New Roman" w:hAnsi="Times New Roman" w:eastAsia="宋体" w:cs="Times New Roman"/>
                <w:color w:val="auto"/>
                <w:highlight w:val="none"/>
                <w:lang w:val="en-US" w:eastAsia="zh-CN"/>
              </w:rPr>
              <w:t>（东五份子铁矿）污染源</w:t>
            </w:r>
            <w:r>
              <w:rPr>
                <w:rFonts w:hint="eastAsia" w:cs="Times New Roman"/>
                <w:color w:val="auto"/>
                <w:highlight w:val="none"/>
                <w:lang w:val="en-US" w:eastAsia="zh-CN"/>
              </w:rPr>
              <w:t>监测报告</w:t>
            </w:r>
            <w:r>
              <w:rPr>
                <w:rFonts w:hint="default" w:ascii="Times New Roman" w:hAnsi="Times New Roman" w:eastAsia="宋体" w:cs="Times New Roman"/>
                <w:color w:val="auto"/>
                <w:highlight w:val="none"/>
                <w:lang w:eastAsia="zh-CN"/>
              </w:rPr>
              <w:t>可知，</w:t>
            </w:r>
            <w:r>
              <w:rPr>
                <w:rFonts w:hint="default" w:ascii="Times New Roman" w:hAnsi="Times New Roman" w:eastAsia="宋体" w:cs="Times New Roman"/>
                <w:color w:val="auto"/>
                <w:highlight w:val="none"/>
                <w:lang w:val="en-US" w:eastAsia="zh-CN"/>
              </w:rPr>
              <w:t>颗粒物的实测排放浓度平均值为30.9mg/m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，排放速率的平均值为0.11kg/h，二氧化硫实测排放浓度为96mg/m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，排放速率的平均值为0.36kg/h，氮氧化物的实测排放浓度平均值为146mg/m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，排放速率的平均值为0.54kg/h，经过计算，颗粒物的排放量为0.871t/a，二氧化硫的排放量为2.851t/a，氮氧化物的排放量为4.277t/a。</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均满足《锅炉大气污染物排放标准》（GB13271-2014）中表1标注限值要求，颗粒物≤80mg/m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，二氧化硫≤400mg/m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，氮氧化物≤400mg/m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，汞及其化合物≤0.05mg/m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w:t>
            </w:r>
          </w:p>
          <w:p>
            <w:pPr>
              <w:keepNext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2.2废水</w:t>
            </w:r>
          </w:p>
          <w:p>
            <w:pPr>
              <w:keepNext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现有项目运营期产生的废水主要</w:t>
            </w:r>
            <w:r>
              <w:rPr>
                <w:rFonts w:hint="default" w:ascii="Times New Roman" w:hAnsi="Times New Roman" w:eastAsia="宋体" w:cs="Times New Roman"/>
                <w:color w:val="auto"/>
                <w:highlight w:val="none"/>
                <w:lang w:val="en-US" w:eastAsia="zh-CN"/>
              </w:rPr>
              <w:t>为锅炉定期排污水和软水制备废水</w:t>
            </w:r>
            <w:r>
              <w:rPr>
                <w:rFonts w:hint="default" w:ascii="Times New Roman" w:hAnsi="Times New Roman" w:eastAsia="宋体" w:cs="Times New Roman"/>
                <w:color w:val="auto"/>
                <w:highlight w:val="none"/>
                <w:lang w:eastAsia="zh-CN"/>
              </w:rPr>
              <w:t>。</w:t>
            </w:r>
          </w:p>
          <w:p>
            <w:pPr>
              <w:keepNext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软水制备废水和锅炉定期排污水直接用于灰渣库抑尘、厂区空地降尘洒水，不外排。</w:t>
            </w:r>
          </w:p>
          <w:p>
            <w:pPr>
              <w:keepNext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2.3噪声</w:t>
            </w:r>
          </w:p>
          <w:p>
            <w:pPr>
              <w:keepNext w:val="0"/>
              <w:pageBreakBefore w:val="0"/>
              <w:widowControl w:val="0"/>
              <w:shd w:val="clear"/>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2023年3月24日对现有项目厂界现状进行噪声监测，</w:t>
            </w:r>
            <w:r>
              <w:rPr>
                <w:rFonts w:hint="default" w:ascii="Times New Roman" w:hAnsi="Times New Roman" w:eastAsia="宋体" w:cs="Times New Roman"/>
                <w:color w:val="auto"/>
                <w:sz w:val="24"/>
                <w:szCs w:val="24"/>
                <w:highlight w:val="none"/>
                <w:lang w:eastAsia="zh-CN"/>
              </w:rPr>
              <w:t>根据</w:t>
            </w:r>
            <w:r>
              <w:rPr>
                <w:rFonts w:hint="default" w:ascii="Times New Roman" w:hAnsi="Times New Roman" w:eastAsia="宋体" w:cs="Times New Roman"/>
                <w:color w:val="auto"/>
                <w:sz w:val="24"/>
                <w:szCs w:val="24"/>
                <w:highlight w:val="none"/>
                <w:lang w:val="en-US" w:eastAsia="zh-CN"/>
              </w:rPr>
              <w:t>包头市智广环境</w:t>
            </w:r>
            <w:r>
              <w:rPr>
                <w:rFonts w:hint="default" w:ascii="Times New Roman" w:hAnsi="Times New Roman" w:eastAsia="宋体" w:cs="Times New Roman"/>
                <w:color w:val="auto"/>
                <w:sz w:val="24"/>
                <w:szCs w:val="24"/>
                <w:highlight w:val="none"/>
                <w:lang w:eastAsia="zh-CN"/>
              </w:rPr>
              <w:t>技术</w:t>
            </w:r>
            <w:r>
              <w:rPr>
                <w:rFonts w:hint="default" w:ascii="Times New Roman" w:hAnsi="Times New Roman" w:eastAsia="宋体" w:cs="Times New Roman"/>
                <w:color w:val="auto"/>
                <w:sz w:val="24"/>
                <w:szCs w:val="24"/>
                <w:highlight w:val="none"/>
                <w:lang w:val="en-US" w:eastAsia="zh-CN"/>
              </w:rPr>
              <w:t>服务</w:t>
            </w:r>
            <w:r>
              <w:rPr>
                <w:rFonts w:hint="default" w:ascii="Times New Roman" w:hAnsi="Times New Roman" w:eastAsia="宋体" w:cs="Times New Roman"/>
                <w:color w:val="auto"/>
                <w:sz w:val="24"/>
                <w:szCs w:val="24"/>
                <w:highlight w:val="none"/>
                <w:lang w:eastAsia="zh-CN"/>
              </w:rPr>
              <w:t>有限公司出具的</w:t>
            </w:r>
            <w:r>
              <w:rPr>
                <w:rFonts w:hint="default" w:ascii="Times New Roman" w:hAnsi="Times New Roman" w:eastAsia="宋体" w:cs="Times New Roman"/>
                <w:color w:val="auto"/>
                <w:sz w:val="24"/>
                <w:szCs w:val="24"/>
                <w:highlight w:val="none"/>
              </w:rPr>
              <w:t>《</w:t>
            </w:r>
            <w:r>
              <w:rPr>
                <w:rFonts w:hint="eastAsia" w:cs="Times New Roman"/>
                <w:color w:val="auto"/>
                <w:sz w:val="24"/>
                <w:szCs w:val="24"/>
                <w:highlight w:val="none"/>
                <w:lang w:val="en-US" w:eastAsia="zh-CN"/>
              </w:rPr>
              <w:t>大中矿业股份有限公司</w:t>
            </w:r>
            <w:r>
              <w:rPr>
                <w:rFonts w:hint="default" w:ascii="Times New Roman" w:hAnsi="Times New Roman" w:eastAsia="宋体" w:cs="Times New Roman"/>
                <w:color w:val="auto"/>
                <w:sz w:val="24"/>
                <w:szCs w:val="24"/>
                <w:highlight w:val="none"/>
                <w:lang w:val="en-US" w:eastAsia="zh-CN"/>
              </w:rPr>
              <w:t>（东五份子）铁矿污染源检测</w:t>
            </w:r>
            <w:r>
              <w:rPr>
                <w:rFonts w:hint="default" w:ascii="Times New Roman" w:hAnsi="Times New Roman" w:eastAsia="宋体" w:cs="Times New Roman"/>
                <w:color w:val="auto"/>
                <w:sz w:val="24"/>
                <w:szCs w:val="24"/>
                <w:highlight w:val="none"/>
                <w:vertAlign w:val="baseline"/>
                <w:lang w:val="en-US" w:eastAsia="zh-CN"/>
              </w:rPr>
              <w:t>报告</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中噪声监测数据可知，厂界昼间最大噪声值为</w:t>
            </w:r>
            <w:r>
              <w:rPr>
                <w:rFonts w:hint="default" w:ascii="Times New Roman" w:hAnsi="Times New Roman" w:eastAsia="宋体" w:cs="Times New Roman"/>
                <w:color w:val="auto"/>
                <w:sz w:val="24"/>
                <w:szCs w:val="24"/>
                <w:highlight w:val="none"/>
                <w:lang w:val="en-US" w:eastAsia="zh-CN"/>
              </w:rPr>
              <w:t>56.7dB</w:t>
            </w:r>
            <w:r>
              <w:rPr>
                <w:rFonts w:hint="eastAsia" w:cs="Times New Roman"/>
                <w:color w:val="auto"/>
                <w:sz w:val="24"/>
                <w:szCs w:val="24"/>
                <w:highlight w:val="none"/>
                <w:lang w:val="en-US" w:eastAsia="zh-CN"/>
              </w:rPr>
              <w:t>(A)</w:t>
            </w:r>
            <w:r>
              <w:rPr>
                <w:rFonts w:hint="default" w:ascii="Times New Roman" w:hAnsi="Times New Roman" w:eastAsia="宋体" w:cs="Times New Roman"/>
                <w:color w:val="auto"/>
                <w:sz w:val="24"/>
                <w:szCs w:val="24"/>
                <w:highlight w:val="none"/>
                <w:lang w:val="en-US" w:eastAsia="zh-CN"/>
              </w:rPr>
              <w:t>，夜间最大噪声值为45.9dB</w:t>
            </w:r>
            <w:r>
              <w:rPr>
                <w:rFonts w:hint="eastAsia" w:cs="Times New Roman"/>
                <w:color w:val="auto"/>
                <w:sz w:val="24"/>
                <w:szCs w:val="24"/>
                <w:highlight w:val="none"/>
                <w:lang w:val="en-US" w:eastAsia="zh-CN"/>
              </w:rPr>
              <w:t>(A)</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厂界噪声满足《工业企业厂界环境噪声排放标准》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GB12348-2008</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中</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类标准的限值</w:t>
            </w:r>
            <w:r>
              <w:rPr>
                <w:rFonts w:hint="default" w:ascii="Times New Roman" w:hAnsi="Times New Roman" w:eastAsia="宋体" w:cs="Times New Roman"/>
                <w:color w:val="auto"/>
                <w:sz w:val="24"/>
                <w:szCs w:val="24"/>
                <w:highlight w:val="none"/>
                <w:lang w:eastAsia="zh-CN"/>
              </w:rPr>
              <w:t>（标准为：昼间</w:t>
            </w:r>
            <w:r>
              <w:rPr>
                <w:rFonts w:hint="default" w:ascii="Times New Roman" w:hAnsi="Times New Roman" w:eastAsia="宋体" w:cs="Times New Roman"/>
                <w:color w:val="auto"/>
                <w:sz w:val="24"/>
                <w:szCs w:val="24"/>
                <w:highlight w:val="none"/>
                <w:lang w:val="en-US" w:eastAsia="zh-CN"/>
              </w:rPr>
              <w:t>60</w:t>
            </w:r>
            <w:r>
              <w:rPr>
                <w:rFonts w:hint="default" w:ascii="Times New Roman" w:hAnsi="Times New Roman" w:eastAsia="宋体" w:cs="Times New Roman"/>
                <w:color w:val="auto"/>
                <w:sz w:val="24"/>
                <w:szCs w:val="24"/>
                <w:highlight w:val="none"/>
                <w:lang w:eastAsia="zh-CN"/>
              </w:rPr>
              <w:t>dB</w:t>
            </w:r>
            <w:r>
              <w:rPr>
                <w:rFonts w:hint="eastAsia" w:cs="Times New Roman"/>
                <w:color w:val="auto"/>
                <w:sz w:val="24"/>
                <w:szCs w:val="24"/>
                <w:highlight w:val="none"/>
                <w:lang w:eastAsia="zh-CN"/>
              </w:rPr>
              <w:t>(A)</w:t>
            </w:r>
            <w:r>
              <w:rPr>
                <w:rFonts w:hint="default" w:ascii="Times New Roman" w:hAnsi="Times New Roman" w:eastAsia="宋体" w:cs="Times New Roman"/>
                <w:color w:val="auto"/>
                <w:sz w:val="24"/>
                <w:szCs w:val="24"/>
                <w:highlight w:val="none"/>
                <w:lang w:eastAsia="zh-CN"/>
              </w:rPr>
              <w:t>；夜间5</w:t>
            </w:r>
            <w:r>
              <w:rPr>
                <w:rFonts w:hint="default" w:ascii="Times New Roman" w:hAnsi="Times New Roman" w:eastAsia="宋体"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lang w:eastAsia="zh-CN"/>
              </w:rPr>
              <w:t>dB</w:t>
            </w:r>
            <w:r>
              <w:rPr>
                <w:rFonts w:hint="eastAsia" w:cs="Times New Roman"/>
                <w:color w:val="auto"/>
                <w:sz w:val="24"/>
                <w:szCs w:val="24"/>
                <w:highlight w:val="none"/>
                <w:lang w:eastAsia="zh-CN"/>
              </w:rPr>
              <w:t>(A)</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要求。</w:t>
            </w:r>
          </w:p>
          <w:p>
            <w:pPr>
              <w:keepNext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2.4固废</w:t>
            </w:r>
          </w:p>
          <w:p>
            <w:pPr>
              <w:keepNext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Cs w:val="20"/>
                <w:highlight w:val="none"/>
                <w:lang w:eastAsia="zh-CN"/>
              </w:rPr>
            </w:pPr>
            <w:r>
              <w:rPr>
                <w:rFonts w:hint="default" w:ascii="Times New Roman" w:hAnsi="Times New Roman" w:eastAsia="宋体" w:cs="Times New Roman"/>
                <w:color w:val="auto"/>
                <w:highlight w:val="none"/>
                <w:lang w:eastAsia="zh-CN"/>
              </w:rPr>
              <w:t>现有项目运营期产生的固废</w:t>
            </w:r>
            <w:r>
              <w:rPr>
                <w:rFonts w:hint="default" w:ascii="Times New Roman" w:hAnsi="Times New Roman" w:eastAsia="宋体" w:cs="Times New Roman"/>
                <w:color w:val="auto"/>
                <w:highlight w:val="none"/>
              </w:rPr>
              <w:t>主要为</w:t>
            </w:r>
            <w:r>
              <w:rPr>
                <w:rFonts w:hint="default" w:ascii="Times New Roman" w:hAnsi="Times New Roman" w:eastAsia="宋体" w:cs="Times New Roman"/>
                <w:color w:val="auto"/>
                <w:highlight w:val="none"/>
                <w:lang w:val="en-US" w:eastAsia="zh-CN"/>
              </w:rPr>
              <w:t>燃煤热水锅炉</w:t>
            </w:r>
            <w:r>
              <w:rPr>
                <w:rFonts w:hint="default" w:ascii="Times New Roman" w:hAnsi="Times New Roman" w:eastAsia="宋体" w:cs="Times New Roman"/>
                <w:color w:val="auto"/>
                <w:highlight w:val="none"/>
              </w:rPr>
              <w:t>产生的炉渣</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除尘灰、脱硫石膏。</w:t>
            </w:r>
            <w:r>
              <w:rPr>
                <w:rFonts w:hint="default" w:ascii="Times New Roman" w:hAnsi="Times New Roman" w:eastAsia="宋体" w:cs="Times New Roman"/>
                <w:color w:val="auto"/>
                <w:highlight w:val="none"/>
                <w:lang w:eastAsia="zh-CN"/>
              </w:rPr>
              <w:t>产生情况见下表</w:t>
            </w:r>
            <w:r>
              <w:rPr>
                <w:rFonts w:hint="default" w:ascii="Times New Roman" w:hAnsi="Times New Roman" w:eastAsia="宋体" w:cs="Times New Roman"/>
                <w:color w:val="auto"/>
                <w:highlight w:val="none"/>
                <w:lang w:val="en-US" w:eastAsia="zh-CN"/>
              </w:rPr>
              <w:t>2-9</w:t>
            </w:r>
            <w:r>
              <w:rPr>
                <w:rFonts w:hint="default" w:ascii="Times New Roman" w:hAnsi="Times New Roman" w:eastAsia="宋体" w:cs="Times New Roman"/>
                <w:color w:val="auto"/>
                <w:highlight w:val="none"/>
                <w:lang w:eastAsia="zh-CN"/>
              </w:rPr>
              <w:t>。</w:t>
            </w:r>
          </w:p>
          <w:p>
            <w:pPr>
              <w:kinsoku/>
              <w:wordWrap/>
              <w:bidi w:val="0"/>
              <w:spacing w:line="360" w:lineRule="auto"/>
              <w:ind w:left="0" w:leftChars="0" w:right="0" w:rightChars="0" w:firstLine="0" w:firstLineChars="0"/>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eastAsia="zh-CN"/>
              </w:rPr>
              <w:t>表</w:t>
            </w:r>
            <w:r>
              <w:rPr>
                <w:rFonts w:hint="default" w:ascii="Times New Roman" w:hAnsi="Times New Roman" w:eastAsia="宋体" w:cs="Times New Roman"/>
                <w:b/>
                <w:bCs/>
                <w:color w:val="auto"/>
                <w:highlight w:val="none"/>
                <w:lang w:val="en-US" w:eastAsia="zh-CN"/>
              </w:rPr>
              <w:t>2-9  固废产生及处置情况一览表</w:t>
            </w:r>
          </w:p>
          <w:tbl>
            <w:tblPr>
              <w:tblStyle w:val="19"/>
              <w:tblW w:w="81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8"/>
              <w:gridCol w:w="1158"/>
              <w:gridCol w:w="1158"/>
              <w:gridCol w:w="1158"/>
              <w:gridCol w:w="1158"/>
              <w:gridCol w:w="1158"/>
              <w:gridCol w:w="11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58" w:type="dxa"/>
                  <w:tcBorders>
                    <w:tl2br w:val="nil"/>
                    <w:tr2bl w:val="nil"/>
                  </w:tcBorders>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产生环节</w:t>
                  </w:r>
                </w:p>
              </w:tc>
              <w:tc>
                <w:tcPr>
                  <w:tcW w:w="1158" w:type="dxa"/>
                  <w:tcBorders>
                    <w:tl2br w:val="nil"/>
                    <w:tr2bl w:val="nil"/>
                  </w:tcBorders>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名称</w:t>
                  </w:r>
                </w:p>
              </w:tc>
              <w:tc>
                <w:tcPr>
                  <w:tcW w:w="1158" w:type="dxa"/>
                  <w:tcBorders>
                    <w:tl2br w:val="nil"/>
                    <w:tr2bl w:val="nil"/>
                  </w:tcBorders>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属性</w:t>
                  </w:r>
                </w:p>
              </w:tc>
              <w:tc>
                <w:tcPr>
                  <w:tcW w:w="1158" w:type="dxa"/>
                  <w:tcBorders>
                    <w:tl2br w:val="nil"/>
                    <w:tr2bl w:val="nil"/>
                  </w:tcBorders>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年产生量</w:t>
                  </w:r>
                </w:p>
              </w:tc>
              <w:tc>
                <w:tcPr>
                  <w:tcW w:w="1158" w:type="dxa"/>
                  <w:tcBorders>
                    <w:tl2br w:val="nil"/>
                    <w:tr2bl w:val="nil"/>
                  </w:tcBorders>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贮存方式</w:t>
                  </w:r>
                </w:p>
              </w:tc>
              <w:tc>
                <w:tcPr>
                  <w:tcW w:w="1158" w:type="dxa"/>
                  <w:tcBorders>
                    <w:tl2br w:val="nil"/>
                    <w:tr2bl w:val="nil"/>
                  </w:tcBorders>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处置方式</w:t>
                  </w:r>
                </w:p>
              </w:tc>
              <w:tc>
                <w:tcPr>
                  <w:tcW w:w="1159" w:type="dxa"/>
                  <w:tcBorders>
                    <w:tl2br w:val="nil"/>
                    <w:tr2bl w:val="nil"/>
                  </w:tcBorders>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处置量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58" w:type="dxa"/>
                  <w:vMerge w:val="restart"/>
                  <w:tcBorders>
                    <w:tl2br w:val="nil"/>
                    <w:tr2bl w:val="nil"/>
                  </w:tcBorders>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废气治理</w:t>
                  </w:r>
                </w:p>
              </w:tc>
              <w:tc>
                <w:tcPr>
                  <w:tcW w:w="1158" w:type="dxa"/>
                  <w:tcBorders>
                    <w:tl2br w:val="nil"/>
                    <w:tr2bl w:val="nil"/>
                  </w:tcBorders>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除尘灰</w:t>
                  </w:r>
                </w:p>
              </w:tc>
              <w:tc>
                <w:tcPr>
                  <w:tcW w:w="1158" w:type="dxa"/>
                  <w:vMerge w:val="restart"/>
                  <w:tcBorders>
                    <w:tl2br w:val="nil"/>
                    <w:tr2bl w:val="nil"/>
                  </w:tcBorders>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一般固废</w:t>
                  </w:r>
                </w:p>
              </w:tc>
              <w:tc>
                <w:tcPr>
                  <w:tcW w:w="1158" w:type="dxa"/>
                  <w:tcBorders>
                    <w:tl2br w:val="nil"/>
                    <w:tr2bl w:val="nil"/>
                  </w:tcBorders>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147t/a</w:t>
                  </w:r>
                </w:p>
              </w:tc>
              <w:tc>
                <w:tcPr>
                  <w:tcW w:w="1158" w:type="dxa"/>
                  <w:vMerge w:val="restart"/>
                  <w:tcBorders>
                    <w:tl2br w:val="nil"/>
                    <w:tr2bl w:val="nil"/>
                  </w:tcBorders>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暂存于一般固废暂存间内</w:t>
                  </w:r>
                </w:p>
              </w:tc>
              <w:tc>
                <w:tcPr>
                  <w:tcW w:w="1158" w:type="dxa"/>
                  <w:vMerge w:val="restart"/>
                  <w:tcBorders>
                    <w:tl2br w:val="nil"/>
                    <w:tr2bl w:val="nil"/>
                  </w:tcBorders>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作为建筑材料外售综合利用</w:t>
                  </w:r>
                </w:p>
              </w:tc>
              <w:tc>
                <w:tcPr>
                  <w:tcW w:w="1159" w:type="dxa"/>
                  <w:tcBorders>
                    <w:tl2br w:val="nil"/>
                    <w:tr2bl w:val="nil"/>
                  </w:tcBorders>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147t/a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58" w:type="dxa"/>
                  <w:vMerge w:val="continue"/>
                  <w:tcBorders>
                    <w:tl2br w:val="nil"/>
                    <w:tr2bl w:val="nil"/>
                  </w:tcBorders>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p>
              </w:tc>
              <w:tc>
                <w:tcPr>
                  <w:tcW w:w="1158" w:type="dxa"/>
                  <w:tcBorders>
                    <w:tl2br w:val="nil"/>
                    <w:tr2bl w:val="nil"/>
                  </w:tcBorders>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脱硫石膏</w:t>
                  </w:r>
                </w:p>
              </w:tc>
              <w:tc>
                <w:tcPr>
                  <w:tcW w:w="1158" w:type="dxa"/>
                  <w:vMerge w:val="continue"/>
                  <w:tcBorders>
                    <w:tl2br w:val="nil"/>
                    <w:tr2bl w:val="nil"/>
                  </w:tcBorders>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p>
              </w:tc>
              <w:tc>
                <w:tcPr>
                  <w:tcW w:w="1158" w:type="dxa"/>
                  <w:tcBorders>
                    <w:tl2br w:val="nil"/>
                    <w:tr2bl w:val="nil"/>
                  </w:tcBorders>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56t/a</w:t>
                  </w:r>
                </w:p>
              </w:tc>
              <w:tc>
                <w:tcPr>
                  <w:tcW w:w="1158" w:type="dxa"/>
                  <w:vMerge w:val="continue"/>
                  <w:tcBorders>
                    <w:tl2br w:val="nil"/>
                    <w:tr2bl w:val="nil"/>
                  </w:tcBorders>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p>
              </w:tc>
              <w:tc>
                <w:tcPr>
                  <w:tcW w:w="1158" w:type="dxa"/>
                  <w:vMerge w:val="continue"/>
                  <w:tcBorders>
                    <w:tl2br w:val="nil"/>
                    <w:tr2bl w:val="nil"/>
                  </w:tcBorders>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p>
              </w:tc>
              <w:tc>
                <w:tcPr>
                  <w:tcW w:w="1159" w:type="dxa"/>
                  <w:tcBorders>
                    <w:tl2br w:val="nil"/>
                    <w:tr2bl w:val="nil"/>
                  </w:tcBorders>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56t/a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58" w:type="dxa"/>
                  <w:tcBorders>
                    <w:tl2br w:val="nil"/>
                    <w:tr2bl w:val="nil"/>
                  </w:tcBorders>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锅炉</w:t>
                  </w:r>
                </w:p>
              </w:tc>
              <w:tc>
                <w:tcPr>
                  <w:tcW w:w="1158" w:type="dxa"/>
                  <w:tcBorders>
                    <w:tl2br w:val="nil"/>
                    <w:tr2bl w:val="nil"/>
                  </w:tcBorders>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炉渣</w:t>
                  </w:r>
                </w:p>
              </w:tc>
              <w:tc>
                <w:tcPr>
                  <w:tcW w:w="1158" w:type="dxa"/>
                  <w:vMerge w:val="continue"/>
                  <w:tcBorders>
                    <w:tl2br w:val="nil"/>
                    <w:tr2bl w:val="nil"/>
                  </w:tcBorders>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highlight w:val="none"/>
                    </w:rPr>
                  </w:pPr>
                </w:p>
              </w:tc>
              <w:tc>
                <w:tcPr>
                  <w:tcW w:w="1158" w:type="dxa"/>
                  <w:tcBorders>
                    <w:tl2br w:val="nil"/>
                    <w:tr2bl w:val="nil"/>
                  </w:tcBorders>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720t/a</w:t>
                  </w:r>
                </w:p>
              </w:tc>
              <w:tc>
                <w:tcPr>
                  <w:tcW w:w="1158" w:type="dxa"/>
                  <w:vMerge w:val="continue"/>
                  <w:tcBorders>
                    <w:tl2br w:val="nil"/>
                    <w:tr2bl w:val="nil"/>
                  </w:tcBorders>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highlight w:val="none"/>
                    </w:rPr>
                  </w:pPr>
                </w:p>
              </w:tc>
              <w:tc>
                <w:tcPr>
                  <w:tcW w:w="1158" w:type="dxa"/>
                  <w:vMerge w:val="continue"/>
                  <w:tcBorders>
                    <w:tl2br w:val="nil"/>
                    <w:tr2bl w:val="nil"/>
                  </w:tcBorders>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p>
              </w:tc>
              <w:tc>
                <w:tcPr>
                  <w:tcW w:w="1159" w:type="dxa"/>
                  <w:tcBorders>
                    <w:tl2br w:val="nil"/>
                    <w:tr2bl w:val="nil"/>
                  </w:tcBorders>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720t/a</w:t>
                  </w:r>
                </w:p>
              </w:tc>
            </w:tr>
          </w:tbl>
          <w:p>
            <w:pPr>
              <w:keepNext w:val="0"/>
              <w:keepLines w:val="0"/>
              <w:pageBreakBefore w:val="0"/>
              <w:widowControl w:val="0"/>
              <w:kinsoku/>
              <w:wordWrap/>
              <w:overflowPunct/>
              <w:topLinePunct w:val="0"/>
              <w:autoSpaceDE w:val="0"/>
              <w:autoSpaceDN w:val="0"/>
              <w:bidi w:val="0"/>
              <w:adjustRightInd/>
              <w:snapToGrid/>
              <w:spacing w:line="360" w:lineRule="auto"/>
              <w:ind w:left="0" w:leftChars="0" w:right="0" w:rightChars="0"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highlight w:val="none"/>
                <w:lang w:val="en-US" w:eastAsia="zh-CN"/>
              </w:rPr>
              <w:t>2.5</w:t>
            </w:r>
            <w:r>
              <w:rPr>
                <w:rFonts w:hint="default" w:ascii="Times New Roman" w:hAnsi="Times New Roman" w:eastAsia="宋体" w:cs="Times New Roman"/>
                <w:b/>
                <w:bCs/>
                <w:color w:val="auto"/>
                <w:sz w:val="24"/>
                <w:szCs w:val="24"/>
                <w:highlight w:val="none"/>
                <w:lang w:val="en-US" w:eastAsia="zh-CN"/>
              </w:rPr>
              <w:t>现有项目污染物排放情况汇总</w:t>
            </w:r>
          </w:p>
          <w:p>
            <w:pPr>
              <w:keepNext w:val="0"/>
              <w:keepLines w:val="0"/>
              <w:pageBreakBefore w:val="0"/>
              <w:widowControl w:val="0"/>
              <w:kinsoku/>
              <w:wordWrap/>
              <w:overflowPunct/>
              <w:topLinePunct w:val="0"/>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现有项目</w:t>
            </w:r>
            <w:r>
              <w:rPr>
                <w:rFonts w:hint="default" w:ascii="Times New Roman" w:hAnsi="Times New Roman" w:eastAsia="宋体" w:cs="Times New Roman"/>
                <w:color w:val="auto"/>
                <w:sz w:val="24"/>
                <w:szCs w:val="24"/>
                <w:highlight w:val="none"/>
              </w:rPr>
              <w:t>污染物排放情况汇总见</w:t>
            </w:r>
            <w:r>
              <w:rPr>
                <w:rFonts w:hint="default" w:ascii="Times New Roman" w:hAnsi="Times New Roman" w:eastAsia="宋体" w:cs="Times New Roman"/>
                <w:color w:val="auto"/>
                <w:sz w:val="24"/>
                <w:szCs w:val="24"/>
                <w:highlight w:val="none"/>
                <w:lang w:eastAsia="zh-CN"/>
              </w:rPr>
              <w:t>下表</w:t>
            </w:r>
            <w:r>
              <w:rPr>
                <w:rFonts w:hint="default" w:ascii="Times New Roman" w:hAnsi="Times New Roman" w:eastAsia="宋体" w:cs="Times New Roman"/>
                <w:color w:val="auto"/>
                <w:sz w:val="24"/>
                <w:szCs w:val="24"/>
                <w:highlight w:val="none"/>
                <w:lang w:val="en-US" w:eastAsia="zh-CN"/>
              </w:rPr>
              <w:t>2-10</w:t>
            </w:r>
            <w:r>
              <w:rPr>
                <w:rFonts w:hint="default" w:ascii="Times New Roman" w:hAnsi="Times New Roman" w:eastAsia="宋体" w:cs="Times New Roman"/>
                <w:color w:val="auto"/>
                <w:sz w:val="24"/>
                <w:szCs w:val="24"/>
                <w:highlight w:val="none"/>
              </w:rPr>
              <w:t>。</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 xml:space="preserve">2-10  </w:t>
            </w:r>
            <w:r>
              <w:rPr>
                <w:rFonts w:hint="default" w:ascii="Times New Roman" w:hAnsi="Times New Roman" w:eastAsia="宋体" w:cs="Times New Roman"/>
                <w:b/>
                <w:bCs/>
                <w:color w:val="auto"/>
                <w:sz w:val="24"/>
                <w:szCs w:val="24"/>
                <w:highlight w:val="none"/>
                <w:lang w:eastAsia="zh-CN"/>
              </w:rPr>
              <w:t>现有项目</w:t>
            </w:r>
            <w:r>
              <w:rPr>
                <w:rFonts w:hint="default" w:ascii="Times New Roman" w:hAnsi="Times New Roman" w:eastAsia="宋体" w:cs="Times New Roman"/>
                <w:b/>
                <w:bCs/>
                <w:color w:val="auto"/>
                <w:sz w:val="24"/>
                <w:szCs w:val="24"/>
                <w:highlight w:val="none"/>
              </w:rPr>
              <w:t>污染物排放情况一览表</w:t>
            </w:r>
          </w:p>
          <w:tbl>
            <w:tblPr>
              <w:tblStyle w:val="20"/>
              <w:tblW w:w="81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1"/>
              <w:gridCol w:w="1046"/>
              <w:gridCol w:w="1181"/>
              <w:gridCol w:w="1181"/>
              <w:gridCol w:w="1059"/>
              <w:gridCol w:w="1209"/>
              <w:gridCol w:w="17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rPr>
                    <w:t>项目</w:t>
                  </w:r>
                </w:p>
              </w:tc>
              <w:tc>
                <w:tcPr>
                  <w:tcW w:w="104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z w:val="21"/>
                      <w:szCs w:val="21"/>
                      <w:highlight w:val="none"/>
                    </w:rPr>
                    <w:t>污染物名称</w:t>
                  </w:r>
                </w:p>
              </w:tc>
              <w:tc>
                <w:tcPr>
                  <w:tcW w:w="118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z w:val="21"/>
                      <w:szCs w:val="21"/>
                      <w:highlight w:val="none"/>
                      <w:lang w:eastAsia="zh-CN"/>
                    </w:rPr>
                    <w:t>排放量</w:t>
                  </w:r>
                </w:p>
              </w:tc>
              <w:tc>
                <w:tcPr>
                  <w:tcW w:w="118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z w:val="21"/>
                      <w:szCs w:val="21"/>
                      <w:highlight w:val="none"/>
                      <w:lang w:eastAsia="zh-CN"/>
                    </w:rPr>
                    <w:t>排放浓度</w:t>
                  </w:r>
                </w:p>
              </w:tc>
              <w:tc>
                <w:tcPr>
                  <w:tcW w:w="1059"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kern w:val="2"/>
                      <w:sz w:val="21"/>
                      <w:szCs w:val="21"/>
                      <w:highlight w:val="none"/>
                      <w:lang w:val="en-US" w:eastAsia="zh-CN" w:bidi="ar-SA"/>
                    </w:rPr>
                    <w:t>排放速率</w:t>
                  </w:r>
                </w:p>
              </w:tc>
              <w:tc>
                <w:tcPr>
                  <w:tcW w:w="1209"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z w:val="21"/>
                      <w:szCs w:val="21"/>
                      <w:highlight w:val="none"/>
                      <w:lang w:eastAsia="zh-CN"/>
                    </w:rPr>
                    <w:t>治理措施</w:t>
                  </w:r>
                </w:p>
              </w:tc>
              <w:tc>
                <w:tcPr>
                  <w:tcW w:w="1750"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z w:val="21"/>
                      <w:szCs w:val="21"/>
                      <w:highlight w:val="none"/>
                      <w:lang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dxa"/>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锅炉废气</w:t>
                  </w:r>
                </w:p>
              </w:tc>
              <w:tc>
                <w:tcPr>
                  <w:tcW w:w="104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颗粒物</w:t>
                  </w:r>
                </w:p>
              </w:tc>
              <w:tc>
                <w:tcPr>
                  <w:tcW w:w="118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0.871</w:t>
                  </w:r>
                  <w:r>
                    <w:rPr>
                      <w:rFonts w:hint="default" w:ascii="Times New Roman" w:hAnsi="Times New Roman" w:eastAsia="宋体" w:cs="Times New Roman"/>
                      <w:color w:val="auto"/>
                      <w:sz w:val="21"/>
                      <w:szCs w:val="21"/>
                      <w:highlight w:val="none"/>
                    </w:rPr>
                    <w:t>t/a</w:t>
                  </w:r>
                </w:p>
              </w:tc>
              <w:tc>
                <w:tcPr>
                  <w:tcW w:w="118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30.9mg/m</w:t>
                  </w:r>
                  <w:r>
                    <w:rPr>
                      <w:rFonts w:hint="default" w:ascii="Times New Roman" w:hAnsi="Times New Roman" w:eastAsia="宋体" w:cs="Times New Roman"/>
                      <w:b w:val="0"/>
                      <w:bCs w:val="0"/>
                      <w:color w:val="auto"/>
                      <w:sz w:val="21"/>
                      <w:szCs w:val="21"/>
                      <w:highlight w:val="none"/>
                      <w:vertAlign w:val="superscript"/>
                      <w:lang w:val="en-US" w:eastAsia="zh-CN"/>
                    </w:rPr>
                    <w:t>3</w:t>
                  </w:r>
                </w:p>
              </w:tc>
              <w:tc>
                <w:tcPr>
                  <w:tcW w:w="1059"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0.11kg/h</w:t>
                  </w:r>
                </w:p>
              </w:tc>
              <w:tc>
                <w:tcPr>
                  <w:tcW w:w="1209" w:type="dxa"/>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废气经布袋除尘器+双碱法脱硫塔处理后，由1根40m高的排气筒排放</w:t>
                  </w:r>
                </w:p>
              </w:tc>
              <w:tc>
                <w:tcPr>
                  <w:tcW w:w="1750" w:type="dxa"/>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排放标准可以满足《锅炉大气污染物排放标准》（GB13271-2014）中的表1燃煤锅炉：颗粒物80mg/m</w:t>
                  </w:r>
                  <w:r>
                    <w:rPr>
                      <w:rFonts w:hint="default" w:ascii="Times New Roman" w:hAnsi="Times New Roman" w:eastAsia="宋体" w:cs="Times New Roman"/>
                      <w:b w:val="0"/>
                      <w:bCs w:val="0"/>
                      <w:color w:val="auto"/>
                      <w:sz w:val="21"/>
                      <w:szCs w:val="21"/>
                      <w:highlight w:val="none"/>
                      <w:vertAlign w:val="superscript"/>
                      <w:lang w:val="en-US" w:eastAsia="zh-CN"/>
                    </w:rPr>
                    <w:t>3</w:t>
                  </w:r>
                  <w:r>
                    <w:rPr>
                      <w:rFonts w:hint="default" w:ascii="Times New Roman" w:hAnsi="Times New Roman" w:eastAsia="宋体" w:cs="Times New Roman"/>
                      <w:b w:val="0"/>
                      <w:bCs w:val="0"/>
                      <w:color w:val="auto"/>
                      <w:sz w:val="21"/>
                      <w:szCs w:val="21"/>
                      <w:highlight w:val="none"/>
                      <w:vertAlign w:val="baseline"/>
                      <w:lang w:val="en-US" w:eastAsia="zh-CN"/>
                    </w:rPr>
                    <w:t>，二氧化硫400mg/m</w:t>
                  </w:r>
                  <w:r>
                    <w:rPr>
                      <w:rFonts w:hint="default" w:ascii="Times New Roman" w:hAnsi="Times New Roman" w:eastAsia="宋体" w:cs="Times New Roman"/>
                      <w:b w:val="0"/>
                      <w:bCs w:val="0"/>
                      <w:color w:val="auto"/>
                      <w:sz w:val="21"/>
                      <w:szCs w:val="21"/>
                      <w:highlight w:val="none"/>
                      <w:vertAlign w:val="superscript"/>
                      <w:lang w:val="en-US" w:eastAsia="zh-CN"/>
                    </w:rPr>
                    <w:t>3</w:t>
                  </w:r>
                  <w:r>
                    <w:rPr>
                      <w:rFonts w:hint="default" w:ascii="Times New Roman" w:hAnsi="Times New Roman" w:eastAsia="宋体" w:cs="Times New Roman"/>
                      <w:b w:val="0"/>
                      <w:bCs w:val="0"/>
                      <w:color w:val="auto"/>
                      <w:sz w:val="21"/>
                      <w:szCs w:val="21"/>
                      <w:highlight w:val="none"/>
                      <w:vertAlign w:val="baseline"/>
                      <w:lang w:val="en-US" w:eastAsia="zh-CN"/>
                    </w:rPr>
                    <w:t>，氮氧化物400mg/m</w:t>
                  </w:r>
                  <w:r>
                    <w:rPr>
                      <w:rFonts w:hint="default" w:ascii="Times New Roman" w:hAnsi="Times New Roman" w:eastAsia="宋体" w:cs="Times New Roman"/>
                      <w:b w:val="0"/>
                      <w:bCs w:val="0"/>
                      <w:color w:val="auto"/>
                      <w:sz w:val="21"/>
                      <w:szCs w:val="21"/>
                      <w:highlight w:val="none"/>
                      <w:vertAlign w:val="superscript"/>
                      <w:lang w:val="en-US" w:eastAsia="zh-CN"/>
                    </w:rPr>
                    <w:t>3</w:t>
                  </w:r>
                  <w:r>
                    <w:rPr>
                      <w:rFonts w:hint="default" w:ascii="Times New Roman" w:hAnsi="Times New Roman" w:eastAsia="宋体" w:cs="Times New Roman"/>
                      <w:b w:val="0"/>
                      <w:bCs w:val="0"/>
                      <w:color w:val="auto"/>
                      <w:sz w:val="21"/>
                      <w:szCs w:val="21"/>
                      <w:highlight w:val="none"/>
                      <w:vertAlign w:val="baseline"/>
                      <w:lang w:val="en-US" w:eastAsia="zh-CN"/>
                    </w:rPr>
                    <w:t>的限值要求。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rPr>
                  </w:pPr>
                </w:p>
              </w:tc>
              <w:tc>
                <w:tcPr>
                  <w:tcW w:w="104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NOx</w:t>
                  </w:r>
                </w:p>
              </w:tc>
              <w:tc>
                <w:tcPr>
                  <w:tcW w:w="118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2.851</w:t>
                  </w:r>
                  <w:r>
                    <w:rPr>
                      <w:rFonts w:hint="default" w:ascii="Times New Roman" w:hAnsi="Times New Roman" w:eastAsia="宋体" w:cs="Times New Roman"/>
                      <w:color w:val="auto"/>
                      <w:sz w:val="21"/>
                      <w:szCs w:val="21"/>
                      <w:highlight w:val="none"/>
                    </w:rPr>
                    <w:t>t/a</w:t>
                  </w:r>
                </w:p>
              </w:tc>
              <w:tc>
                <w:tcPr>
                  <w:tcW w:w="118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96mg/m</w:t>
                  </w:r>
                  <w:r>
                    <w:rPr>
                      <w:rFonts w:hint="default" w:ascii="Times New Roman" w:hAnsi="Times New Roman" w:eastAsia="宋体" w:cs="Times New Roman"/>
                      <w:b w:val="0"/>
                      <w:bCs w:val="0"/>
                      <w:color w:val="auto"/>
                      <w:sz w:val="21"/>
                      <w:szCs w:val="21"/>
                      <w:highlight w:val="none"/>
                      <w:vertAlign w:val="superscript"/>
                      <w:lang w:val="en-US" w:eastAsia="zh-CN"/>
                    </w:rPr>
                    <w:t>3</w:t>
                  </w:r>
                </w:p>
              </w:tc>
              <w:tc>
                <w:tcPr>
                  <w:tcW w:w="1059"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0.36kg/h</w:t>
                  </w:r>
                </w:p>
              </w:tc>
              <w:tc>
                <w:tcPr>
                  <w:tcW w:w="1209"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rPr>
                  </w:pPr>
                </w:p>
              </w:tc>
              <w:tc>
                <w:tcPr>
                  <w:tcW w:w="1750"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rPr>
                  </w:pPr>
                </w:p>
              </w:tc>
              <w:tc>
                <w:tcPr>
                  <w:tcW w:w="104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SO</w:t>
                  </w:r>
                  <w:r>
                    <w:rPr>
                      <w:rFonts w:hint="default" w:ascii="Times New Roman" w:hAnsi="Times New Roman" w:eastAsia="宋体" w:cs="Times New Roman"/>
                      <w:color w:val="auto"/>
                      <w:sz w:val="21"/>
                      <w:szCs w:val="21"/>
                      <w:highlight w:val="none"/>
                      <w:vertAlign w:val="subscript"/>
                      <w:lang w:val="en-US" w:eastAsia="zh-CN"/>
                    </w:rPr>
                    <w:t>2</w:t>
                  </w:r>
                </w:p>
              </w:tc>
              <w:tc>
                <w:tcPr>
                  <w:tcW w:w="118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4.277</w:t>
                  </w:r>
                  <w:r>
                    <w:rPr>
                      <w:rFonts w:hint="default" w:ascii="Times New Roman" w:hAnsi="Times New Roman" w:eastAsia="宋体" w:cs="Times New Roman"/>
                      <w:color w:val="auto"/>
                      <w:sz w:val="21"/>
                      <w:szCs w:val="21"/>
                      <w:highlight w:val="none"/>
                    </w:rPr>
                    <w:t>t/a</w:t>
                  </w:r>
                </w:p>
              </w:tc>
              <w:tc>
                <w:tcPr>
                  <w:tcW w:w="118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146mg/m</w:t>
                  </w:r>
                  <w:r>
                    <w:rPr>
                      <w:rFonts w:hint="default" w:ascii="Times New Roman" w:hAnsi="Times New Roman" w:eastAsia="宋体" w:cs="Times New Roman"/>
                      <w:b w:val="0"/>
                      <w:bCs w:val="0"/>
                      <w:color w:val="auto"/>
                      <w:sz w:val="21"/>
                      <w:szCs w:val="21"/>
                      <w:highlight w:val="none"/>
                      <w:vertAlign w:val="superscript"/>
                      <w:lang w:val="en-US" w:eastAsia="zh-CN"/>
                    </w:rPr>
                    <w:t>3</w:t>
                  </w:r>
                </w:p>
              </w:tc>
              <w:tc>
                <w:tcPr>
                  <w:tcW w:w="1059"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0.54kg/h</w:t>
                  </w:r>
                </w:p>
              </w:tc>
              <w:tc>
                <w:tcPr>
                  <w:tcW w:w="1209"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rPr>
                  </w:pPr>
                </w:p>
              </w:tc>
              <w:tc>
                <w:tcPr>
                  <w:tcW w:w="1750"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dxa"/>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一般工业固废</w:t>
                  </w:r>
                </w:p>
              </w:tc>
              <w:tc>
                <w:tcPr>
                  <w:tcW w:w="104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灰渣</w:t>
                  </w:r>
                </w:p>
              </w:tc>
              <w:tc>
                <w:tcPr>
                  <w:tcW w:w="1181" w:type="dxa"/>
                  <w:tcBorders>
                    <w:tl2br w:val="nil"/>
                    <w:tr2bl w:val="nil"/>
                  </w:tcBorders>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720</w:t>
                  </w:r>
                  <w:r>
                    <w:rPr>
                      <w:rFonts w:hint="default" w:ascii="Times New Roman" w:hAnsi="Times New Roman" w:eastAsia="宋体" w:cs="Times New Roman"/>
                      <w:b w:val="0"/>
                      <w:bCs w:val="0"/>
                      <w:color w:val="auto"/>
                      <w:sz w:val="21"/>
                      <w:szCs w:val="21"/>
                      <w:highlight w:val="none"/>
                      <w:lang w:val="en-US"/>
                    </w:rPr>
                    <w:t>t/a</w:t>
                  </w:r>
                </w:p>
              </w:tc>
              <w:tc>
                <w:tcPr>
                  <w:tcW w:w="118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1059"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1209" w:type="dxa"/>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外售建材公司综合利用</w:t>
                  </w:r>
                </w:p>
              </w:tc>
              <w:tc>
                <w:tcPr>
                  <w:tcW w:w="1750" w:type="dxa"/>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rPr>
                  </w:pPr>
                  <w:r>
                    <w:rPr>
                      <w:rFonts w:hint="default" w:ascii="Times New Roman" w:hAnsi="Times New Roman" w:eastAsia="宋体" w:cs="Times New Roman"/>
                      <w:color w:val="auto"/>
                      <w:sz w:val="21"/>
                      <w:szCs w:val="21"/>
                      <w:highlight w:val="none"/>
                      <w:lang w:val="en-US" w:eastAsia="zh-CN"/>
                    </w:rPr>
                    <w:t>《一般工业固体废物贮存和填埋污染物控制标准》（GB18599-2020）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04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除尘灰</w:t>
                  </w:r>
                </w:p>
              </w:tc>
              <w:tc>
                <w:tcPr>
                  <w:tcW w:w="1181" w:type="dxa"/>
                  <w:tcBorders>
                    <w:tl2br w:val="nil"/>
                    <w:tr2bl w:val="nil"/>
                  </w:tcBorders>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147</w:t>
                  </w:r>
                  <w:r>
                    <w:rPr>
                      <w:rFonts w:hint="default" w:ascii="Times New Roman" w:hAnsi="Times New Roman" w:eastAsia="宋体" w:cs="Times New Roman"/>
                      <w:b w:val="0"/>
                      <w:bCs w:val="0"/>
                      <w:color w:val="auto"/>
                      <w:sz w:val="21"/>
                      <w:szCs w:val="21"/>
                      <w:highlight w:val="none"/>
                      <w:lang w:val="en-US"/>
                    </w:rPr>
                    <w:t>t/a</w:t>
                  </w:r>
                </w:p>
              </w:tc>
              <w:tc>
                <w:tcPr>
                  <w:tcW w:w="118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1059"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1209"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750"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046"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lang w:val="en-US" w:eastAsia="zh-CN"/>
                    </w:rPr>
                    <w:t>脱硫石膏</w:t>
                  </w:r>
                </w:p>
              </w:tc>
              <w:tc>
                <w:tcPr>
                  <w:tcW w:w="1181" w:type="dxa"/>
                  <w:tcBorders>
                    <w:tl2br w:val="nil"/>
                    <w:tr2bl w:val="nil"/>
                  </w:tcBorders>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56</w:t>
                  </w:r>
                  <w:r>
                    <w:rPr>
                      <w:rFonts w:hint="default" w:ascii="Times New Roman" w:hAnsi="Times New Roman" w:eastAsia="宋体" w:cs="Times New Roman"/>
                      <w:b w:val="0"/>
                      <w:bCs w:val="0"/>
                      <w:color w:val="auto"/>
                      <w:sz w:val="21"/>
                      <w:szCs w:val="21"/>
                      <w:highlight w:val="none"/>
                      <w:lang w:val="en-US"/>
                    </w:rPr>
                    <w:t>t/a</w:t>
                  </w:r>
                </w:p>
              </w:tc>
              <w:tc>
                <w:tcPr>
                  <w:tcW w:w="118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1059"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1209"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1750"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rPr>
                  </w:pPr>
                </w:p>
              </w:tc>
            </w:tr>
          </w:tbl>
          <w:p>
            <w:pPr>
              <w:keepNext w:val="0"/>
              <w:keepLines w:val="0"/>
              <w:pageBreakBefore w:val="0"/>
              <w:widowControl w:val="0"/>
              <w:kinsoku/>
              <w:wordWrap/>
              <w:overflowPunct/>
              <w:topLinePunct w:val="0"/>
              <w:bidi w:val="0"/>
              <w:adjustRightInd/>
              <w:snapToGrid/>
              <w:spacing w:line="360" w:lineRule="auto"/>
              <w:ind w:left="0" w:leftChars="0" w:right="0" w:rightChars="0" w:firstLine="482" w:firstLineChars="20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3、现有项目存在问题</w:t>
            </w:r>
          </w:p>
          <w:p>
            <w:pPr>
              <w:keepNext w:val="0"/>
              <w:keepLines w:val="0"/>
              <w:pageBreakBefore w:val="0"/>
              <w:widowControl w:val="0"/>
              <w:kinsoku/>
              <w:wordWrap/>
              <w:overflowPunct/>
              <w:topLinePunct w:val="0"/>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3.1厂区主要环境问题</w:t>
            </w:r>
          </w:p>
          <w:p>
            <w:pPr>
              <w:keepNext w:val="0"/>
              <w:keepLines w:val="0"/>
              <w:pageBreakBefore w:val="0"/>
              <w:widowControl w:val="0"/>
              <w:kinsoku/>
              <w:wordWrap/>
              <w:overflowPunct/>
              <w:topLinePunct w:val="0"/>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现有燃料及灰渣棚为半封闭结构，并且地面未进行防渗，不符合环保要求。</w:t>
            </w:r>
          </w:p>
          <w:p>
            <w:pPr>
              <w:keepNext w:val="0"/>
              <w:keepLines w:val="0"/>
              <w:pageBreakBefore w:val="0"/>
              <w:widowControl w:val="0"/>
              <w:kinsoku/>
              <w:wordWrap/>
              <w:overflowPunct/>
              <w:topLinePunct w:val="0"/>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3.2整改措施</w:t>
            </w:r>
          </w:p>
          <w:p>
            <w:pPr>
              <w:keepNext w:val="0"/>
              <w:keepLines w:val="0"/>
              <w:pageBreakBefore w:val="0"/>
              <w:widowControl w:val="0"/>
              <w:kinsoku/>
              <w:wordWrap/>
              <w:overflowPunct/>
              <w:topLinePunct w:val="0"/>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改建项目对现有燃料及灰渣棚进行改造，采用钢结构进行全封闭，并对地面进行防渗处理。</w:t>
            </w:r>
          </w:p>
        </w:tc>
      </w:tr>
    </w:tbl>
    <w:p>
      <w:pPr>
        <w:kinsoku/>
        <w:wordWrap/>
        <w:bidi w:val="0"/>
        <w:spacing w:line="360" w:lineRule="auto"/>
        <w:ind w:left="0" w:leftChars="0" w:right="0" w:rightChars="0" w:firstLine="0" w:firstLineChars="0"/>
        <w:rPr>
          <w:rFonts w:hint="default" w:ascii="Times New Roman" w:hAnsi="Times New Roman" w:eastAsia="宋体" w:cs="Times New Roman"/>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6"/>
        <w:kinsoku/>
        <w:wordWrap/>
        <w:bidi w:val="0"/>
        <w:spacing w:line="360" w:lineRule="auto"/>
        <w:ind w:left="0" w:leftChars="0" w:right="0" w:righ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三、区域环境质量现状、环境保护目标及评价标准</w:t>
      </w:r>
    </w:p>
    <w:tbl>
      <w:tblPr>
        <w:tblStyle w:val="19"/>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11"/>
        <w:gridCol w:w="836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68" w:type="dxa"/>
            <w:vAlign w:val="center"/>
          </w:tcPr>
          <w:p>
            <w:pPr>
              <w:kinsoku/>
              <w:wordWrap/>
              <w:bidi w:val="0"/>
              <w:adjustRightInd w:val="0"/>
              <w:snapToGrid w:val="0"/>
              <w:spacing w:line="360" w:lineRule="auto"/>
              <w:ind w:left="0" w:leftChars="0" w:right="0" w:rightChars="0" w:firstLine="0" w:firstLineChars="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区域</w:t>
            </w:r>
          </w:p>
          <w:p>
            <w:pPr>
              <w:kinsoku/>
              <w:wordWrap/>
              <w:bidi w:val="0"/>
              <w:adjustRightInd w:val="0"/>
              <w:snapToGrid w:val="0"/>
              <w:spacing w:line="360" w:lineRule="auto"/>
              <w:ind w:left="0" w:leftChars="0" w:right="0" w:rightChars="0" w:firstLine="0" w:firstLineChars="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环境</w:t>
            </w:r>
          </w:p>
          <w:p>
            <w:pPr>
              <w:kinsoku/>
              <w:wordWrap/>
              <w:bidi w:val="0"/>
              <w:adjustRightInd w:val="0"/>
              <w:snapToGrid w:val="0"/>
              <w:spacing w:line="360" w:lineRule="auto"/>
              <w:ind w:left="0" w:leftChars="0" w:right="0" w:rightChars="0" w:firstLine="0" w:firstLineChars="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质量</w:t>
            </w:r>
          </w:p>
          <w:p>
            <w:pPr>
              <w:kinsoku/>
              <w:wordWrap/>
              <w:bidi w:val="0"/>
              <w:adjustRightInd w:val="0"/>
              <w:snapToGrid w:val="0"/>
              <w:spacing w:line="360" w:lineRule="auto"/>
              <w:ind w:left="0" w:leftChars="0" w:right="0" w:rightChars="0" w:firstLine="0" w:firstLineChars="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现状</w:t>
            </w:r>
          </w:p>
        </w:tc>
        <w:tc>
          <w:tcPr>
            <w:tcW w:w="7854"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1、环境空气质量现状</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根据《环境影响评价技术导则</w:t>
            </w:r>
            <w:r>
              <w:rPr>
                <w:rFonts w:hint="default" w:ascii="Times New Roman" w:hAnsi="Times New Roman" w:eastAsia="宋体" w:cs="Times New Roman"/>
                <w:color w:val="auto"/>
                <w:kern w:val="0"/>
                <w:sz w:val="24"/>
                <w:szCs w:val="24"/>
                <w:highlight w:val="none"/>
                <w:lang w:val="en-US" w:eastAsia="zh-CN"/>
              </w:rPr>
              <w:t xml:space="preserve"> </w:t>
            </w:r>
            <w:r>
              <w:rPr>
                <w:rFonts w:hint="default" w:ascii="Times New Roman" w:hAnsi="Times New Roman" w:eastAsia="宋体" w:cs="Times New Roman"/>
                <w:color w:val="auto"/>
                <w:kern w:val="0"/>
                <w:sz w:val="24"/>
                <w:szCs w:val="24"/>
                <w:highlight w:val="none"/>
              </w:rPr>
              <w:t>大气环境》（HJ2.2-2018）中6.4.1.1中的内容“城市环境空气质量达标评价指标为SO</w:t>
            </w:r>
            <w:r>
              <w:rPr>
                <w:rFonts w:hint="default" w:ascii="Times New Roman" w:hAnsi="Times New Roman" w:eastAsia="宋体" w:cs="Times New Roman"/>
                <w:color w:val="auto"/>
                <w:kern w:val="0"/>
                <w:sz w:val="24"/>
                <w:szCs w:val="24"/>
                <w:highlight w:val="none"/>
                <w:vertAlign w:val="subscript"/>
              </w:rPr>
              <w:t>2</w:t>
            </w:r>
            <w:r>
              <w:rPr>
                <w:rFonts w:hint="default" w:ascii="Times New Roman" w:hAnsi="Times New Roman" w:eastAsia="宋体" w:cs="Times New Roman"/>
                <w:color w:val="auto"/>
                <w:kern w:val="0"/>
                <w:sz w:val="24"/>
                <w:szCs w:val="24"/>
                <w:highlight w:val="none"/>
              </w:rPr>
              <w:t>、NO</w:t>
            </w:r>
            <w:r>
              <w:rPr>
                <w:rFonts w:hint="default" w:ascii="Times New Roman" w:hAnsi="Times New Roman" w:eastAsia="宋体" w:cs="Times New Roman"/>
                <w:color w:val="auto"/>
                <w:kern w:val="0"/>
                <w:sz w:val="24"/>
                <w:szCs w:val="24"/>
                <w:highlight w:val="none"/>
                <w:vertAlign w:val="subscript"/>
              </w:rPr>
              <w:t>2</w:t>
            </w:r>
            <w:r>
              <w:rPr>
                <w:rFonts w:hint="default" w:ascii="Times New Roman" w:hAnsi="Times New Roman" w:eastAsia="宋体" w:cs="Times New Roman"/>
                <w:color w:val="auto"/>
                <w:kern w:val="0"/>
                <w:sz w:val="24"/>
                <w:szCs w:val="24"/>
                <w:highlight w:val="none"/>
              </w:rPr>
              <w:t>、PM</w:t>
            </w:r>
            <w:r>
              <w:rPr>
                <w:rFonts w:hint="default" w:ascii="Times New Roman" w:hAnsi="Times New Roman" w:eastAsia="宋体" w:cs="Times New Roman"/>
                <w:color w:val="auto"/>
                <w:kern w:val="0"/>
                <w:sz w:val="24"/>
                <w:szCs w:val="24"/>
                <w:highlight w:val="none"/>
                <w:vertAlign w:val="subscript"/>
              </w:rPr>
              <w:t>10</w:t>
            </w:r>
            <w:r>
              <w:rPr>
                <w:rFonts w:hint="default" w:ascii="Times New Roman" w:hAnsi="Times New Roman" w:eastAsia="宋体" w:cs="Times New Roman"/>
                <w:color w:val="auto"/>
                <w:kern w:val="0"/>
                <w:sz w:val="24"/>
                <w:szCs w:val="24"/>
                <w:highlight w:val="none"/>
              </w:rPr>
              <w:t>、PM</w:t>
            </w:r>
            <w:r>
              <w:rPr>
                <w:rFonts w:hint="default" w:ascii="Times New Roman" w:hAnsi="Times New Roman" w:eastAsia="宋体" w:cs="Times New Roman"/>
                <w:color w:val="auto"/>
                <w:kern w:val="0"/>
                <w:sz w:val="24"/>
                <w:szCs w:val="24"/>
                <w:highlight w:val="none"/>
                <w:vertAlign w:val="subscript"/>
              </w:rPr>
              <w:t>2.5</w:t>
            </w:r>
            <w:r>
              <w:rPr>
                <w:rFonts w:hint="default" w:ascii="Times New Roman" w:hAnsi="Times New Roman" w:eastAsia="宋体" w:cs="Times New Roman"/>
                <w:color w:val="auto"/>
                <w:kern w:val="0"/>
                <w:sz w:val="24"/>
                <w:szCs w:val="24"/>
                <w:highlight w:val="none"/>
              </w:rPr>
              <w:t>、CO和O</w:t>
            </w:r>
            <w:r>
              <w:rPr>
                <w:rFonts w:hint="default" w:ascii="Times New Roman" w:hAnsi="Times New Roman" w:eastAsia="宋体" w:cs="Times New Roman"/>
                <w:color w:val="auto"/>
                <w:kern w:val="0"/>
                <w:sz w:val="24"/>
                <w:szCs w:val="24"/>
                <w:highlight w:val="none"/>
                <w:vertAlign w:val="subscript"/>
              </w:rPr>
              <w:t>3</w:t>
            </w:r>
            <w:r>
              <w:rPr>
                <w:rFonts w:hint="default" w:ascii="Times New Roman" w:hAnsi="Times New Roman" w:eastAsia="宋体" w:cs="Times New Roman"/>
                <w:color w:val="auto"/>
                <w:kern w:val="0"/>
                <w:sz w:val="24"/>
                <w:szCs w:val="24"/>
                <w:highlight w:val="none"/>
              </w:rPr>
              <w:t>，六项污染物全部达标即为城市环境空气质量达标”。</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lang w:eastAsia="zh-CN"/>
              </w:rPr>
              <w:t>改建项目</w:t>
            </w:r>
            <w:r>
              <w:rPr>
                <w:rFonts w:hint="default" w:ascii="Times New Roman" w:hAnsi="Times New Roman" w:eastAsia="宋体" w:cs="Times New Roman"/>
                <w:color w:val="auto"/>
                <w:sz w:val="24"/>
                <w:szCs w:val="32"/>
                <w:highlight w:val="none"/>
              </w:rPr>
              <w:t>环境质量现状数据来源于</w:t>
            </w:r>
            <w:r>
              <w:rPr>
                <w:rFonts w:hint="default" w:ascii="Times New Roman" w:hAnsi="Times New Roman" w:eastAsia="宋体" w:cs="Times New Roman"/>
                <w:color w:val="auto"/>
                <w:sz w:val="24"/>
                <w:szCs w:val="32"/>
                <w:highlight w:val="none"/>
                <w:lang w:eastAsia="zh-CN"/>
              </w:rPr>
              <w:t>《巴彦淖尔市环境质量状况公报（2023年）》</w:t>
            </w:r>
            <w:r>
              <w:rPr>
                <w:rFonts w:hint="default" w:ascii="Times New Roman" w:hAnsi="Times New Roman" w:eastAsia="宋体" w:cs="Times New Roman"/>
                <w:color w:val="auto"/>
                <w:sz w:val="24"/>
                <w:szCs w:val="32"/>
                <w:highlight w:val="none"/>
              </w:rPr>
              <w:t>中的内容，内蒙古巴彦淖尔市</w:t>
            </w:r>
            <w:r>
              <w:rPr>
                <w:rFonts w:hint="default" w:ascii="Times New Roman" w:hAnsi="Times New Roman" w:eastAsia="宋体" w:cs="Times New Roman"/>
                <w:color w:val="auto"/>
                <w:sz w:val="24"/>
                <w:szCs w:val="32"/>
                <w:highlight w:val="none"/>
                <w:lang w:eastAsia="zh-CN"/>
              </w:rPr>
              <w:t>乌拉特前旗2023</w:t>
            </w:r>
            <w:r>
              <w:rPr>
                <w:rFonts w:hint="default" w:ascii="Times New Roman" w:hAnsi="Times New Roman" w:eastAsia="宋体" w:cs="Times New Roman"/>
                <w:color w:val="auto"/>
                <w:sz w:val="24"/>
                <w:szCs w:val="32"/>
                <w:highlight w:val="none"/>
              </w:rPr>
              <w:t>年六项污染物</w:t>
            </w:r>
            <w:r>
              <w:rPr>
                <w:rFonts w:hint="default" w:ascii="Times New Roman" w:hAnsi="Times New Roman" w:eastAsia="宋体" w:cs="Times New Roman"/>
                <w:color w:val="auto"/>
                <w:sz w:val="24"/>
                <w:szCs w:val="32"/>
                <w:highlight w:val="none"/>
                <w:lang w:eastAsia="zh-CN"/>
              </w:rPr>
              <w:t>环境质量数据见下表</w:t>
            </w:r>
            <w:r>
              <w:rPr>
                <w:rFonts w:hint="default" w:ascii="Times New Roman" w:hAnsi="Times New Roman" w:eastAsia="宋体" w:cs="Times New Roman"/>
                <w:color w:val="auto"/>
                <w:sz w:val="24"/>
                <w:szCs w:val="32"/>
                <w:highlight w:val="none"/>
              </w:rPr>
              <w:t>。</w:t>
            </w:r>
          </w:p>
          <w:p>
            <w:pPr>
              <w:keepNext w:val="0"/>
              <w:keepLines w:val="0"/>
              <w:pageBreakBefore w:val="0"/>
              <w:widowControl w:val="0"/>
              <w:suppressLineNumbers w:val="0"/>
              <w:shd w:val="clear" w:color="auto" w:fill="auto"/>
              <w:kinsoku/>
              <w:wordWrap/>
              <w:overflowPunct/>
              <w:topLinePunct w:val="0"/>
              <w:bidi w:val="0"/>
              <w:adjustRightInd w:val="0"/>
              <w:snapToGrid/>
              <w:spacing w:beforeAutospacing="0" w:afterAutospacing="0" w:line="360" w:lineRule="auto"/>
              <w:ind w:left="0" w:leftChars="0" w:right="0" w:rightChars="0" w:firstLine="482" w:firstLineChars="200"/>
              <w:jc w:val="center"/>
              <w:textAlignment w:val="bottom"/>
              <w:outlineLvl w:val="1"/>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表3</w:t>
            </w:r>
            <w:r>
              <w:rPr>
                <w:rFonts w:hint="default" w:ascii="Times New Roman" w:hAnsi="Times New Roman" w:eastAsia="宋体" w:cs="Times New Roman"/>
                <w:b/>
                <w:bCs/>
                <w:color w:val="auto"/>
                <w:sz w:val="24"/>
                <w:szCs w:val="24"/>
                <w:highlight w:val="none"/>
                <w:lang w:val="en-US" w:eastAsia="zh-CN"/>
              </w:rPr>
              <w:t xml:space="preserve">-1  </w:t>
            </w:r>
            <w:r>
              <w:rPr>
                <w:rFonts w:hint="default" w:ascii="Times New Roman" w:hAnsi="Times New Roman" w:eastAsia="宋体" w:cs="Times New Roman"/>
                <w:b/>
                <w:bCs/>
                <w:color w:val="auto"/>
                <w:sz w:val="24"/>
                <w:szCs w:val="24"/>
                <w:highlight w:val="none"/>
              </w:rPr>
              <w:t>大气环境质量现状与评价结果一览表</w:t>
            </w:r>
          </w:p>
          <w:tbl>
            <w:tblPr>
              <w:tblStyle w:val="19"/>
              <w:tblW w:w="8277"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724"/>
              <w:gridCol w:w="1724"/>
              <w:gridCol w:w="1207"/>
              <w:gridCol w:w="1207"/>
              <w:gridCol w:w="1207"/>
              <w:gridCol w:w="120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blHeader/>
                <w:jc w:val="center"/>
              </w:trPr>
              <w:tc>
                <w:tcPr>
                  <w:tcW w:w="1724" w:type="dxa"/>
                  <w:tcBorders>
                    <w:top w:val="single" w:color="auto" w:sz="4" w:space="0"/>
                    <w:left w:val="single" w:color="auto" w:sz="0"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w:t>
                  </w:r>
                </w:p>
              </w:tc>
              <w:tc>
                <w:tcPr>
                  <w:tcW w:w="172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年评价指标</w:t>
                  </w:r>
                </w:p>
              </w:tc>
              <w:tc>
                <w:tcPr>
                  <w:tcW w:w="120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现状浓度（</w:t>
                  </w:r>
                  <w:r>
                    <w:rPr>
                      <w:rFonts w:hint="default" w:ascii="Times New Roman" w:hAnsi="Times New Roman" w:eastAsia="宋体" w:cs="Times New Roman"/>
                      <w:color w:val="auto"/>
                      <w:sz w:val="21"/>
                      <w:szCs w:val="21"/>
                      <w:highlight w:val="none"/>
                      <w:lang w:eastAsia="zh-CN"/>
                    </w:rPr>
                    <w:t>μg/m</w:t>
                  </w:r>
                  <w:r>
                    <w:rPr>
                      <w:rFonts w:hint="default" w:ascii="Times New Roman" w:hAnsi="Times New Roman" w:eastAsia="宋体" w:cs="Times New Roman"/>
                      <w:color w:val="auto"/>
                      <w:sz w:val="21"/>
                      <w:szCs w:val="21"/>
                      <w:highlight w:val="none"/>
                      <w:vertAlign w:val="superscript"/>
                      <w:lang w:eastAsia="zh-CN"/>
                    </w:rPr>
                    <w:t>3</w:t>
                  </w:r>
                  <w:r>
                    <w:rPr>
                      <w:rFonts w:hint="default" w:ascii="Times New Roman" w:hAnsi="Times New Roman" w:eastAsia="宋体" w:cs="Times New Roman"/>
                      <w:color w:val="auto"/>
                      <w:sz w:val="21"/>
                      <w:szCs w:val="21"/>
                      <w:highlight w:val="none"/>
                    </w:rPr>
                    <w:t>）</w:t>
                  </w:r>
                </w:p>
              </w:tc>
              <w:tc>
                <w:tcPr>
                  <w:tcW w:w="120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标准值（</w:t>
                  </w:r>
                  <w:r>
                    <w:rPr>
                      <w:rFonts w:hint="default" w:ascii="Times New Roman" w:hAnsi="Times New Roman" w:eastAsia="宋体" w:cs="Times New Roman"/>
                      <w:color w:val="auto"/>
                      <w:sz w:val="21"/>
                      <w:szCs w:val="21"/>
                      <w:highlight w:val="none"/>
                      <w:lang w:eastAsia="zh-CN"/>
                    </w:rPr>
                    <w:t>μg/m</w:t>
                  </w:r>
                  <w:r>
                    <w:rPr>
                      <w:rFonts w:hint="default" w:ascii="Times New Roman" w:hAnsi="Times New Roman" w:eastAsia="宋体" w:cs="Times New Roman"/>
                      <w:color w:val="auto"/>
                      <w:sz w:val="21"/>
                      <w:szCs w:val="21"/>
                      <w:highlight w:val="none"/>
                      <w:vertAlign w:val="superscript"/>
                      <w:lang w:eastAsia="zh-CN"/>
                    </w:rPr>
                    <w:t>3</w:t>
                  </w:r>
                  <w:r>
                    <w:rPr>
                      <w:rFonts w:hint="default" w:ascii="Times New Roman" w:hAnsi="Times New Roman" w:eastAsia="宋体" w:cs="Times New Roman"/>
                      <w:color w:val="auto"/>
                      <w:sz w:val="21"/>
                      <w:szCs w:val="21"/>
                      <w:highlight w:val="none"/>
                    </w:rPr>
                    <w:t>）</w:t>
                  </w:r>
                </w:p>
              </w:tc>
              <w:tc>
                <w:tcPr>
                  <w:tcW w:w="120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占标率%</w:t>
                  </w:r>
                </w:p>
              </w:tc>
              <w:tc>
                <w:tcPr>
                  <w:tcW w:w="120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达标情况</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72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细颗粒物（PM</w:t>
                  </w:r>
                  <w:r>
                    <w:rPr>
                      <w:rFonts w:hint="default" w:ascii="Times New Roman" w:hAnsi="Times New Roman" w:eastAsia="宋体" w:cs="Times New Roman"/>
                      <w:color w:val="auto"/>
                      <w:sz w:val="21"/>
                      <w:szCs w:val="21"/>
                      <w:highlight w:val="none"/>
                      <w:vertAlign w:val="subscript"/>
                    </w:rPr>
                    <w:t>2.5</w:t>
                  </w:r>
                  <w:r>
                    <w:rPr>
                      <w:rFonts w:hint="default" w:ascii="Times New Roman" w:hAnsi="Times New Roman" w:eastAsia="宋体" w:cs="Times New Roman"/>
                      <w:color w:val="auto"/>
                      <w:sz w:val="21"/>
                      <w:szCs w:val="21"/>
                      <w:highlight w:val="none"/>
                    </w:rPr>
                    <w:t>）</w:t>
                  </w:r>
                </w:p>
              </w:tc>
              <w:tc>
                <w:tcPr>
                  <w:tcW w:w="172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w:t>
                  </w:r>
                </w:p>
              </w:tc>
              <w:tc>
                <w:tcPr>
                  <w:tcW w:w="120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18</w:t>
                  </w:r>
                </w:p>
              </w:tc>
              <w:tc>
                <w:tcPr>
                  <w:tcW w:w="120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35</w:t>
                  </w:r>
                </w:p>
              </w:tc>
              <w:tc>
                <w:tcPr>
                  <w:tcW w:w="120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51.4</w:t>
                  </w:r>
                </w:p>
              </w:tc>
              <w:tc>
                <w:tcPr>
                  <w:tcW w:w="120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72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可吸入颗粒物（PM</w:t>
                  </w:r>
                  <w:r>
                    <w:rPr>
                      <w:rFonts w:hint="default" w:ascii="Times New Roman" w:hAnsi="Times New Roman" w:eastAsia="宋体" w:cs="Times New Roman"/>
                      <w:color w:val="auto"/>
                      <w:sz w:val="21"/>
                      <w:szCs w:val="21"/>
                      <w:highlight w:val="none"/>
                      <w:vertAlign w:val="subscript"/>
                    </w:rPr>
                    <w:t>10</w:t>
                  </w:r>
                  <w:r>
                    <w:rPr>
                      <w:rFonts w:hint="default" w:ascii="Times New Roman" w:hAnsi="Times New Roman" w:eastAsia="宋体" w:cs="Times New Roman"/>
                      <w:color w:val="auto"/>
                      <w:sz w:val="21"/>
                      <w:szCs w:val="21"/>
                      <w:highlight w:val="none"/>
                    </w:rPr>
                    <w:t>）</w:t>
                  </w:r>
                </w:p>
              </w:tc>
              <w:tc>
                <w:tcPr>
                  <w:tcW w:w="172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w:t>
                  </w:r>
                </w:p>
              </w:tc>
              <w:tc>
                <w:tcPr>
                  <w:tcW w:w="120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70</w:t>
                  </w:r>
                </w:p>
              </w:tc>
              <w:tc>
                <w:tcPr>
                  <w:tcW w:w="120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70</w:t>
                  </w:r>
                </w:p>
              </w:tc>
              <w:tc>
                <w:tcPr>
                  <w:tcW w:w="120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100.0</w:t>
                  </w:r>
                </w:p>
              </w:tc>
              <w:tc>
                <w:tcPr>
                  <w:tcW w:w="120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72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二氧化硫</w:t>
                  </w:r>
                </w:p>
              </w:tc>
              <w:tc>
                <w:tcPr>
                  <w:tcW w:w="172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w:t>
                  </w:r>
                </w:p>
              </w:tc>
              <w:tc>
                <w:tcPr>
                  <w:tcW w:w="120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13</w:t>
                  </w:r>
                </w:p>
              </w:tc>
              <w:tc>
                <w:tcPr>
                  <w:tcW w:w="120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60</w:t>
                  </w:r>
                </w:p>
              </w:tc>
              <w:tc>
                <w:tcPr>
                  <w:tcW w:w="120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21.7</w:t>
                  </w:r>
                </w:p>
              </w:tc>
              <w:tc>
                <w:tcPr>
                  <w:tcW w:w="120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72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二氧化氮</w:t>
                  </w:r>
                </w:p>
              </w:tc>
              <w:tc>
                <w:tcPr>
                  <w:tcW w:w="172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w:t>
                  </w:r>
                </w:p>
              </w:tc>
              <w:tc>
                <w:tcPr>
                  <w:tcW w:w="120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29</w:t>
                  </w:r>
                </w:p>
              </w:tc>
              <w:tc>
                <w:tcPr>
                  <w:tcW w:w="120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40</w:t>
                  </w:r>
                </w:p>
              </w:tc>
              <w:tc>
                <w:tcPr>
                  <w:tcW w:w="120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72.5</w:t>
                  </w:r>
                </w:p>
              </w:tc>
              <w:tc>
                <w:tcPr>
                  <w:tcW w:w="120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72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一氧化碳</w:t>
                  </w:r>
                </w:p>
              </w:tc>
              <w:tc>
                <w:tcPr>
                  <w:tcW w:w="172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日平均浓度</w:t>
                  </w:r>
                </w:p>
              </w:tc>
              <w:tc>
                <w:tcPr>
                  <w:tcW w:w="120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1000</w:t>
                  </w:r>
                </w:p>
              </w:tc>
              <w:tc>
                <w:tcPr>
                  <w:tcW w:w="120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4000</w:t>
                  </w:r>
                </w:p>
              </w:tc>
              <w:tc>
                <w:tcPr>
                  <w:tcW w:w="120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25.0</w:t>
                  </w:r>
                </w:p>
              </w:tc>
              <w:tc>
                <w:tcPr>
                  <w:tcW w:w="120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72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臭氧</w:t>
                  </w:r>
                </w:p>
              </w:tc>
              <w:tc>
                <w:tcPr>
                  <w:tcW w:w="172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8小时平均浓度</w:t>
                  </w:r>
                </w:p>
              </w:tc>
              <w:tc>
                <w:tcPr>
                  <w:tcW w:w="120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148</w:t>
                  </w:r>
                </w:p>
              </w:tc>
              <w:tc>
                <w:tcPr>
                  <w:tcW w:w="120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160</w:t>
                  </w:r>
                </w:p>
              </w:tc>
              <w:tc>
                <w:tcPr>
                  <w:tcW w:w="120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92.5</w:t>
                  </w:r>
                </w:p>
              </w:tc>
              <w:tc>
                <w:tcPr>
                  <w:tcW w:w="120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bl>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lang w:eastAsia="zh-CN"/>
              </w:rPr>
            </w:pPr>
            <w:r>
              <w:rPr>
                <w:rFonts w:hint="default" w:ascii="Times New Roman" w:hAnsi="Times New Roman" w:eastAsia="宋体" w:cs="Times New Roman"/>
                <w:color w:val="auto"/>
                <w:sz w:val="24"/>
                <w:szCs w:val="24"/>
                <w:highlight w:val="none"/>
              </w:rPr>
              <w:t>从上表可以看出，</w:t>
            </w:r>
            <w:r>
              <w:rPr>
                <w:rFonts w:hint="default" w:ascii="Times New Roman" w:hAnsi="Times New Roman" w:eastAsia="宋体" w:cs="Times New Roman"/>
                <w:color w:val="auto"/>
                <w:kern w:val="0"/>
                <w:sz w:val="24"/>
                <w:szCs w:val="24"/>
                <w:highlight w:val="none"/>
                <w:lang w:eastAsia="zh-CN"/>
              </w:rPr>
              <w:t>巴彦淖尔市乌拉特前旗</w:t>
            </w:r>
            <w:r>
              <w:rPr>
                <w:rFonts w:hint="default" w:ascii="Times New Roman" w:hAnsi="Times New Roman" w:eastAsia="宋体" w:cs="Times New Roman"/>
                <w:color w:val="auto"/>
                <w:kern w:val="0"/>
                <w:sz w:val="24"/>
                <w:szCs w:val="24"/>
                <w:highlight w:val="none"/>
                <w:lang w:val="en-US" w:eastAsia="zh-CN"/>
              </w:rPr>
              <w:t>2023年大气环境中6项</w:t>
            </w:r>
            <w:r>
              <w:rPr>
                <w:rFonts w:hint="default" w:ascii="Times New Roman" w:hAnsi="Times New Roman" w:eastAsia="宋体" w:cs="Times New Roman"/>
                <w:color w:val="auto"/>
                <w:kern w:val="0"/>
                <w:sz w:val="24"/>
                <w:szCs w:val="24"/>
                <w:highlight w:val="none"/>
              </w:rPr>
              <w:t>污染物</w:t>
            </w:r>
            <w:r>
              <w:rPr>
                <w:rFonts w:hint="default" w:ascii="Times New Roman" w:hAnsi="Times New Roman" w:eastAsia="宋体" w:cs="Times New Roman"/>
                <w:color w:val="auto"/>
                <w:kern w:val="0"/>
                <w:sz w:val="24"/>
                <w:szCs w:val="24"/>
                <w:highlight w:val="none"/>
                <w:lang w:eastAsia="zh-CN"/>
              </w:rPr>
              <w:t>中</w:t>
            </w:r>
            <w:r>
              <w:rPr>
                <w:rFonts w:hint="default" w:ascii="Times New Roman" w:hAnsi="Times New Roman" w:eastAsia="宋体" w:cs="Times New Roman"/>
                <w:color w:val="auto"/>
                <w:kern w:val="0"/>
                <w:sz w:val="24"/>
                <w:szCs w:val="24"/>
                <w:highlight w:val="none"/>
              </w:rPr>
              <w:t>SO</w:t>
            </w:r>
            <w:r>
              <w:rPr>
                <w:rFonts w:hint="default" w:ascii="Times New Roman" w:hAnsi="Times New Roman" w:eastAsia="宋体" w:cs="Times New Roman"/>
                <w:color w:val="auto"/>
                <w:kern w:val="0"/>
                <w:sz w:val="24"/>
                <w:szCs w:val="24"/>
                <w:highlight w:val="none"/>
                <w:vertAlign w:val="subscript"/>
              </w:rPr>
              <w:t>2</w:t>
            </w:r>
            <w:r>
              <w:rPr>
                <w:rFonts w:hint="default" w:ascii="Times New Roman" w:hAnsi="Times New Roman" w:eastAsia="宋体" w:cs="Times New Roman"/>
                <w:color w:val="auto"/>
                <w:kern w:val="0"/>
                <w:sz w:val="24"/>
                <w:szCs w:val="24"/>
                <w:highlight w:val="none"/>
              </w:rPr>
              <w:t>、NO</w:t>
            </w:r>
            <w:r>
              <w:rPr>
                <w:rFonts w:hint="default" w:ascii="Times New Roman" w:hAnsi="Times New Roman" w:eastAsia="宋体" w:cs="Times New Roman"/>
                <w:color w:val="auto"/>
                <w:kern w:val="0"/>
                <w:sz w:val="24"/>
                <w:szCs w:val="24"/>
                <w:highlight w:val="none"/>
                <w:vertAlign w:val="subscript"/>
              </w:rPr>
              <w:t>2</w:t>
            </w:r>
            <w:r>
              <w:rPr>
                <w:rFonts w:hint="default" w:ascii="Times New Roman" w:hAnsi="Times New Roman" w:eastAsia="宋体" w:cs="Times New Roman"/>
                <w:color w:val="auto"/>
                <w:kern w:val="0"/>
                <w:sz w:val="24"/>
                <w:szCs w:val="24"/>
                <w:highlight w:val="none"/>
              </w:rPr>
              <w:t>、PM</w:t>
            </w:r>
            <w:r>
              <w:rPr>
                <w:rFonts w:hint="default" w:ascii="Times New Roman" w:hAnsi="Times New Roman" w:eastAsia="宋体" w:cs="Times New Roman"/>
                <w:color w:val="auto"/>
                <w:kern w:val="0"/>
                <w:sz w:val="24"/>
                <w:szCs w:val="24"/>
                <w:highlight w:val="none"/>
                <w:vertAlign w:val="subscript"/>
              </w:rPr>
              <w:t>10</w:t>
            </w:r>
            <w:r>
              <w:rPr>
                <w:rFonts w:hint="default" w:ascii="Times New Roman" w:hAnsi="Times New Roman" w:eastAsia="宋体" w:cs="Times New Roman"/>
                <w:color w:val="auto"/>
                <w:kern w:val="0"/>
                <w:sz w:val="24"/>
                <w:szCs w:val="24"/>
                <w:highlight w:val="none"/>
              </w:rPr>
              <w:t>、PM</w:t>
            </w:r>
            <w:r>
              <w:rPr>
                <w:rFonts w:hint="default" w:ascii="Times New Roman" w:hAnsi="Times New Roman" w:eastAsia="宋体" w:cs="Times New Roman"/>
                <w:color w:val="auto"/>
                <w:kern w:val="0"/>
                <w:sz w:val="24"/>
                <w:szCs w:val="24"/>
                <w:highlight w:val="none"/>
                <w:vertAlign w:val="subscript"/>
              </w:rPr>
              <w:t>2.5</w:t>
            </w:r>
            <w:r>
              <w:rPr>
                <w:rFonts w:hint="default" w:ascii="Times New Roman" w:hAnsi="Times New Roman" w:eastAsia="宋体" w:cs="Times New Roman"/>
                <w:color w:val="auto"/>
                <w:kern w:val="0"/>
                <w:sz w:val="24"/>
                <w:szCs w:val="24"/>
                <w:highlight w:val="none"/>
              </w:rPr>
              <w:t>、CO和O</w:t>
            </w:r>
            <w:r>
              <w:rPr>
                <w:rFonts w:hint="default" w:ascii="Times New Roman" w:hAnsi="Times New Roman" w:eastAsia="宋体" w:cs="Times New Roman"/>
                <w:color w:val="auto"/>
                <w:kern w:val="0"/>
                <w:sz w:val="24"/>
                <w:szCs w:val="24"/>
                <w:highlight w:val="none"/>
                <w:vertAlign w:val="subscript"/>
              </w:rPr>
              <w:t>3</w:t>
            </w:r>
            <w:r>
              <w:rPr>
                <w:rFonts w:hint="default" w:ascii="Times New Roman" w:hAnsi="Times New Roman" w:eastAsia="宋体" w:cs="Times New Roman"/>
                <w:color w:val="auto"/>
                <w:kern w:val="0"/>
                <w:sz w:val="24"/>
                <w:szCs w:val="24"/>
                <w:highlight w:val="none"/>
              </w:rPr>
              <w:t>质量浓度</w:t>
            </w:r>
            <w:r>
              <w:rPr>
                <w:rFonts w:hint="default" w:ascii="Times New Roman" w:hAnsi="Times New Roman" w:eastAsia="宋体" w:cs="Times New Roman"/>
                <w:color w:val="auto"/>
                <w:kern w:val="0"/>
                <w:sz w:val="24"/>
                <w:szCs w:val="24"/>
                <w:highlight w:val="none"/>
                <w:lang w:eastAsia="zh-CN"/>
              </w:rPr>
              <w:t>均满足</w:t>
            </w:r>
            <w:r>
              <w:rPr>
                <w:rFonts w:hint="default" w:ascii="Times New Roman" w:hAnsi="Times New Roman" w:eastAsia="宋体" w:cs="Times New Roman"/>
                <w:color w:val="auto"/>
                <w:kern w:val="0"/>
                <w:sz w:val="24"/>
                <w:szCs w:val="24"/>
                <w:highlight w:val="none"/>
              </w:rPr>
              <w:t>《环境空气质量标准》（GB3095-2012）二级标准</w:t>
            </w:r>
            <w:r>
              <w:rPr>
                <w:rFonts w:hint="default" w:ascii="Times New Roman" w:hAnsi="Times New Roman" w:eastAsia="宋体" w:cs="Times New Roman"/>
                <w:color w:val="auto"/>
                <w:kern w:val="0"/>
                <w:sz w:val="24"/>
                <w:szCs w:val="24"/>
                <w:highlight w:val="none"/>
                <w:vertAlign w:val="baseline"/>
              </w:rPr>
              <w:t>限值</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由此可判断</w:t>
            </w:r>
            <w:r>
              <w:rPr>
                <w:rFonts w:hint="default" w:ascii="Times New Roman" w:hAnsi="Times New Roman" w:eastAsia="宋体" w:cs="Times New Roman"/>
                <w:color w:val="auto"/>
                <w:kern w:val="0"/>
                <w:sz w:val="24"/>
                <w:szCs w:val="24"/>
                <w:highlight w:val="none"/>
                <w:lang w:eastAsia="zh-CN"/>
              </w:rPr>
              <w:t>乌拉特前旗为</w:t>
            </w:r>
            <w:r>
              <w:rPr>
                <w:rFonts w:hint="default" w:ascii="Times New Roman" w:hAnsi="Times New Roman" w:eastAsia="宋体" w:cs="Times New Roman"/>
                <w:color w:val="auto"/>
                <w:kern w:val="0"/>
                <w:sz w:val="24"/>
                <w:szCs w:val="24"/>
                <w:highlight w:val="none"/>
              </w:rPr>
              <w:t>达标区</w:t>
            </w:r>
            <w:r>
              <w:rPr>
                <w:rFonts w:hint="default" w:ascii="Times New Roman" w:hAnsi="Times New Roman" w:eastAsia="宋体" w:cs="Times New Roman"/>
                <w:color w:val="auto"/>
                <w:kern w:val="0"/>
                <w:sz w:val="24"/>
                <w:szCs w:val="24"/>
                <w:highlight w:val="none"/>
                <w:lang w:eastAsia="zh-CN"/>
              </w:rPr>
              <w:t>。</w:t>
            </w:r>
          </w:p>
          <w:p>
            <w:pPr>
              <w:bidi w:val="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lang w:val="en-US" w:eastAsia="zh-CN"/>
              </w:rPr>
              <w:t>2</w:t>
            </w:r>
            <w:r>
              <w:rPr>
                <w:rFonts w:hint="default" w:ascii="Times New Roman" w:hAnsi="Times New Roman" w:eastAsia="宋体" w:cs="Times New Roman"/>
                <w:b/>
                <w:bCs/>
                <w:color w:val="auto"/>
                <w:highlight w:val="none"/>
              </w:rPr>
              <w:t>、</w:t>
            </w:r>
            <w:r>
              <w:rPr>
                <w:rFonts w:hint="default" w:ascii="Times New Roman" w:hAnsi="Times New Roman" w:eastAsia="宋体" w:cs="Times New Roman"/>
                <w:b/>
                <w:bCs/>
                <w:color w:val="auto"/>
                <w:highlight w:val="none"/>
                <w:lang w:eastAsia="zh-CN"/>
              </w:rPr>
              <w:t>声</w:t>
            </w:r>
            <w:r>
              <w:rPr>
                <w:rFonts w:hint="default" w:ascii="Times New Roman" w:hAnsi="Times New Roman" w:eastAsia="宋体" w:cs="Times New Roman"/>
                <w:b/>
                <w:bCs/>
                <w:color w:val="auto"/>
                <w:highlight w:val="none"/>
              </w:rPr>
              <w:t>环境质量现状</w:t>
            </w:r>
          </w:p>
          <w:p>
            <w:pPr>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根据《建设项目环境影响报告表编制技术指南（污染影响类）》（试行），</w:t>
            </w:r>
            <w:r>
              <w:rPr>
                <w:rFonts w:hint="default" w:ascii="Times New Roman" w:hAnsi="Times New Roman" w:eastAsia="宋体" w:cs="Times New Roman"/>
                <w:color w:val="auto"/>
                <w:highlight w:val="none"/>
                <w:lang w:eastAsia="zh-CN"/>
              </w:rPr>
              <w:t>改建项目</w:t>
            </w:r>
            <w:r>
              <w:rPr>
                <w:rFonts w:hint="default" w:ascii="Times New Roman" w:hAnsi="Times New Roman" w:eastAsia="宋体" w:cs="Times New Roman"/>
                <w:color w:val="auto"/>
                <w:highlight w:val="none"/>
              </w:rPr>
              <w:t>厂界外50米范围内不存在声环境保护目标，可不开展声环境质量现状调查</w:t>
            </w:r>
            <w:r>
              <w:rPr>
                <w:rFonts w:hint="default" w:ascii="Times New Roman" w:hAnsi="Times New Roman" w:eastAsia="宋体" w:cs="Times New Roman"/>
                <w:color w:val="auto"/>
                <w:highlight w:val="none"/>
                <w:lang w:eastAsia="zh-CN"/>
              </w:rPr>
              <w:t>。</w:t>
            </w:r>
          </w:p>
          <w:p>
            <w:pPr>
              <w:bidi w:val="0"/>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val="en-US" w:eastAsia="zh-CN"/>
              </w:rPr>
              <w:t>3、地下水环境和土壤环境质量</w:t>
            </w:r>
            <w:r>
              <w:rPr>
                <w:rFonts w:hint="default" w:ascii="Times New Roman" w:hAnsi="Times New Roman" w:eastAsia="宋体" w:cs="Times New Roman"/>
                <w:b/>
                <w:bCs/>
                <w:color w:val="auto"/>
                <w:highlight w:val="none"/>
              </w:rPr>
              <w:t>现状</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按照《建设项目环境影响报告表编制技术指南</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污染影响类）</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试行）》，原则上不开展地下水、土壤环境质量现状调查。</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依据《环境影响评价技术导则</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地下水环境》</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HJ610-2016</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附录A</w:t>
            </w:r>
            <w:r>
              <w:rPr>
                <w:rFonts w:hint="eastAsia" w:cs="Times New Roman"/>
                <w:color w:val="auto"/>
                <w:highlight w:val="none"/>
                <w:lang w:eastAsia="zh-CN"/>
              </w:rPr>
              <w:t>－</w:t>
            </w:r>
            <w:r>
              <w:rPr>
                <w:rFonts w:hint="default" w:ascii="Times New Roman" w:hAnsi="Times New Roman" w:eastAsia="宋体" w:cs="Times New Roman"/>
                <w:color w:val="auto"/>
                <w:highlight w:val="none"/>
              </w:rPr>
              <w:t>地下水环境影响评价行业分类表之划分，建设项目地下水环境影响评价项目类别属</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4 \* ROMAN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IV</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类</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参见附录A</w:t>
            </w:r>
            <w:r>
              <w:rPr>
                <w:rFonts w:hint="eastAsia" w:cs="Times New Roman"/>
                <w:color w:val="auto"/>
                <w:highlight w:val="none"/>
                <w:lang w:eastAsia="zh-CN"/>
              </w:rPr>
              <w:t>－</w:t>
            </w:r>
            <w:r>
              <w:rPr>
                <w:rFonts w:hint="default" w:ascii="Times New Roman" w:hAnsi="Times New Roman" w:eastAsia="宋体" w:cs="Times New Roman"/>
                <w:color w:val="auto"/>
                <w:highlight w:val="none"/>
              </w:rPr>
              <w:t>地下水环境影响评价行业分类表-142、热力生产和供应工程</w:t>
            </w:r>
            <w:r>
              <w:rPr>
                <w:rFonts w:hint="eastAsia" w:cs="Times New Roman"/>
                <w:color w:val="auto"/>
                <w:highlight w:val="none"/>
                <w:lang w:eastAsia="zh-CN"/>
              </w:rPr>
              <w:t>－</w:t>
            </w:r>
            <w:r>
              <w:rPr>
                <w:rFonts w:hint="default" w:ascii="Times New Roman" w:hAnsi="Times New Roman" w:eastAsia="宋体" w:cs="Times New Roman"/>
                <w:color w:val="auto"/>
                <w:highlight w:val="none"/>
              </w:rPr>
              <w:t>其他</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。因此无需进行地下水监测及评价。</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对照《环境影响评价技术导则</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土壤环境</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试行）》</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HJ964-2018），判定</w:t>
            </w:r>
            <w:r>
              <w:rPr>
                <w:rFonts w:hint="default" w:ascii="Times New Roman" w:hAnsi="Times New Roman" w:eastAsia="宋体" w:cs="Times New Roman"/>
                <w:color w:val="auto"/>
                <w:highlight w:val="none"/>
                <w:lang w:eastAsia="zh-CN"/>
              </w:rPr>
              <w:t>改建项目</w:t>
            </w:r>
            <w:r>
              <w:rPr>
                <w:rFonts w:hint="default" w:ascii="Times New Roman" w:hAnsi="Times New Roman" w:eastAsia="宋体" w:cs="Times New Roman"/>
                <w:color w:val="auto"/>
                <w:highlight w:val="none"/>
              </w:rPr>
              <w:t>土壤类别为“其他”，为Ⅳ类建设项目，根据《环境影响评价技术导则土壤环境</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试行）》</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HJ964-2018）4.2.2“Ⅳ类项目可不开展土壤环境影响评价”。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68" w:type="dxa"/>
            <w:vAlign w:val="center"/>
          </w:tcPr>
          <w:p>
            <w:pPr>
              <w:kinsoku/>
              <w:wordWrap/>
              <w:bidi w:val="0"/>
              <w:adjustRightInd w:val="0"/>
              <w:snapToGrid w:val="0"/>
              <w:spacing w:line="360" w:lineRule="auto"/>
              <w:ind w:left="0" w:leftChars="0" w:right="0" w:rightChars="0" w:firstLine="0" w:firstLineChars="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环境</w:t>
            </w:r>
          </w:p>
          <w:p>
            <w:pPr>
              <w:kinsoku/>
              <w:wordWrap/>
              <w:bidi w:val="0"/>
              <w:adjustRightInd w:val="0"/>
              <w:snapToGrid w:val="0"/>
              <w:spacing w:line="360" w:lineRule="auto"/>
              <w:ind w:left="0" w:leftChars="0" w:right="0" w:rightChars="0" w:firstLine="0" w:firstLineChars="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保护</w:t>
            </w:r>
          </w:p>
          <w:p>
            <w:pPr>
              <w:kinsoku/>
              <w:wordWrap/>
              <w:bidi w:val="0"/>
              <w:adjustRightInd w:val="0"/>
              <w:snapToGrid w:val="0"/>
              <w:spacing w:line="360" w:lineRule="auto"/>
              <w:ind w:left="0" w:leftChars="0" w:right="0" w:rightChars="0" w:firstLine="0" w:firstLineChars="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目标</w:t>
            </w:r>
          </w:p>
        </w:tc>
        <w:tc>
          <w:tcPr>
            <w:tcW w:w="7854" w:type="dxa"/>
          </w:tcPr>
          <w:p>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2"/>
                <w:highlight w:val="none"/>
              </w:rPr>
            </w:pPr>
            <w:r>
              <w:rPr>
                <w:rFonts w:hint="default" w:ascii="Times New Roman" w:hAnsi="Times New Roman" w:eastAsia="宋体" w:cs="Times New Roman"/>
                <w:color w:val="auto"/>
                <w:sz w:val="24"/>
                <w:szCs w:val="22"/>
                <w:highlight w:val="none"/>
              </w:rPr>
              <w:t>根据区域环境功能特征及建设项目地理位置和性质</w:t>
            </w:r>
            <w:r>
              <w:rPr>
                <w:rFonts w:hint="default" w:ascii="Times New Roman" w:hAnsi="Times New Roman" w:eastAsia="宋体" w:cs="Times New Roman"/>
                <w:color w:val="auto"/>
                <w:sz w:val="24"/>
                <w:szCs w:val="22"/>
                <w:highlight w:val="none"/>
                <w:lang w:eastAsia="zh-CN"/>
              </w:rPr>
              <w:t>，</w:t>
            </w:r>
            <w:r>
              <w:rPr>
                <w:rFonts w:hint="default" w:ascii="Times New Roman" w:hAnsi="Times New Roman" w:eastAsia="宋体" w:cs="Times New Roman"/>
                <w:color w:val="auto"/>
                <w:sz w:val="24"/>
                <w:szCs w:val="22"/>
                <w:highlight w:val="none"/>
              </w:rPr>
              <w:t>确定</w:t>
            </w:r>
            <w:r>
              <w:rPr>
                <w:rFonts w:hint="default" w:ascii="Times New Roman" w:hAnsi="Times New Roman" w:eastAsia="宋体" w:cs="Times New Roman"/>
                <w:color w:val="auto"/>
                <w:sz w:val="24"/>
                <w:szCs w:val="22"/>
                <w:highlight w:val="none"/>
                <w:lang w:eastAsia="zh-CN"/>
              </w:rPr>
              <w:t>改建项目</w:t>
            </w:r>
            <w:r>
              <w:rPr>
                <w:rFonts w:hint="default" w:ascii="Times New Roman" w:hAnsi="Times New Roman" w:eastAsia="宋体" w:cs="Times New Roman"/>
                <w:color w:val="auto"/>
                <w:sz w:val="24"/>
                <w:szCs w:val="22"/>
                <w:highlight w:val="none"/>
              </w:rPr>
              <w:t>影响主要保护目标如下：</w:t>
            </w:r>
          </w:p>
          <w:p>
            <w:pPr>
              <w:keepNext w:val="0"/>
              <w:keepLines w:val="0"/>
              <w:pageBreakBefore w:val="0"/>
              <w:suppressLineNumbers w:val="0"/>
              <w:shd w:val="clear"/>
              <w:tabs>
                <w:tab w:val="left" w:pos="1992"/>
              </w:tabs>
              <w:kinsoku/>
              <w:wordWrap/>
              <w:overflowPunct/>
              <w:bidi w:val="0"/>
              <w:spacing w:before="0" w:beforeAutospacing="0" w:after="0" w:afterAutospacing="0" w:line="360" w:lineRule="auto"/>
              <w:ind w:left="0" w:leftChars="0" w:right="0" w:rightChars="0" w:firstLine="482" w:firstLineChars="20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 xml:space="preserve">3-2  </w:t>
            </w:r>
            <w:r>
              <w:rPr>
                <w:rFonts w:hint="default" w:ascii="Times New Roman" w:hAnsi="Times New Roman" w:eastAsia="宋体" w:cs="Times New Roman"/>
                <w:b/>
                <w:bCs/>
                <w:color w:val="auto"/>
                <w:sz w:val="24"/>
                <w:szCs w:val="24"/>
                <w:highlight w:val="none"/>
              </w:rPr>
              <w:t>具体保护目标</w:t>
            </w:r>
          </w:p>
          <w:tbl>
            <w:tblPr>
              <w:tblStyle w:val="19"/>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5"/>
              <w:gridCol w:w="1126"/>
              <w:gridCol w:w="831"/>
              <w:gridCol w:w="831"/>
              <w:gridCol w:w="831"/>
              <w:gridCol w:w="831"/>
              <w:gridCol w:w="831"/>
              <w:gridCol w:w="20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环境要素</w:t>
                  </w:r>
                </w:p>
              </w:tc>
              <w:tc>
                <w:tcPr>
                  <w:tcW w:w="110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保护范围</w:t>
                  </w:r>
                </w:p>
              </w:tc>
              <w:tc>
                <w:tcPr>
                  <w:tcW w:w="81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保护目标</w:t>
                  </w:r>
                  <w:r>
                    <w:rPr>
                      <w:rFonts w:hint="default" w:ascii="Times New Roman" w:hAnsi="Times New Roman" w:eastAsia="宋体" w:cs="Times New Roman"/>
                      <w:b/>
                      <w:bCs/>
                      <w:color w:val="auto"/>
                      <w:sz w:val="21"/>
                      <w:szCs w:val="21"/>
                      <w:highlight w:val="none"/>
                      <w:lang w:val="en-US" w:eastAsia="zh-CN"/>
                    </w:rPr>
                    <w:t>名称</w:t>
                  </w:r>
                </w:p>
              </w:tc>
              <w:tc>
                <w:tcPr>
                  <w:tcW w:w="81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坐标</w:t>
                  </w:r>
                </w:p>
              </w:tc>
              <w:tc>
                <w:tcPr>
                  <w:tcW w:w="81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相对位置</w:t>
                  </w:r>
                </w:p>
              </w:tc>
              <w:tc>
                <w:tcPr>
                  <w:tcW w:w="81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距离（m）</w:t>
                  </w:r>
                </w:p>
              </w:tc>
              <w:tc>
                <w:tcPr>
                  <w:tcW w:w="81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人数</w:t>
                  </w:r>
                </w:p>
              </w:tc>
              <w:tc>
                <w:tcPr>
                  <w:tcW w:w="201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保护级别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w:t>
                  </w:r>
                </w:p>
              </w:tc>
              <w:tc>
                <w:tcPr>
                  <w:tcW w:w="110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厂界外扩</w:t>
                  </w:r>
                  <w:r>
                    <w:rPr>
                      <w:rFonts w:hint="default" w:ascii="Times New Roman" w:hAnsi="Times New Roman" w:eastAsia="宋体" w:cs="Times New Roman"/>
                      <w:color w:val="auto"/>
                      <w:sz w:val="21"/>
                      <w:szCs w:val="21"/>
                      <w:highlight w:val="none"/>
                      <w:lang w:val="en-US" w:eastAsia="zh-CN"/>
                    </w:rPr>
                    <w:t>500m</w:t>
                  </w:r>
                  <w:r>
                    <w:rPr>
                      <w:rFonts w:hint="default" w:ascii="Times New Roman" w:hAnsi="Times New Roman" w:eastAsia="宋体" w:cs="Times New Roman"/>
                      <w:color w:val="auto"/>
                      <w:sz w:val="21"/>
                      <w:szCs w:val="21"/>
                      <w:highlight w:val="none"/>
                    </w:rPr>
                    <w:t>范围</w:t>
                  </w:r>
                </w:p>
              </w:tc>
              <w:tc>
                <w:tcPr>
                  <w:tcW w:w="4070" w:type="dxa"/>
                  <w:gridSpan w:val="5"/>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厂界外500m范围内无自然保护区、风景名胜区、居住区、文化区和农村地区中人群较集中的区域等保护目标</w:t>
                  </w:r>
                </w:p>
              </w:tc>
              <w:tc>
                <w:tcPr>
                  <w:tcW w:w="201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《环境空气质量标准》（GB3095-2012）二级标准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声环境</w:t>
                  </w:r>
                </w:p>
              </w:tc>
              <w:tc>
                <w:tcPr>
                  <w:tcW w:w="110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厂界外扩</w:t>
                  </w:r>
                  <w:r>
                    <w:rPr>
                      <w:rFonts w:hint="default" w:ascii="Times New Roman" w:hAnsi="Times New Roman" w:eastAsia="宋体" w:cs="Times New Roman"/>
                      <w:color w:val="auto"/>
                      <w:sz w:val="21"/>
                      <w:szCs w:val="21"/>
                      <w:highlight w:val="none"/>
                      <w:lang w:val="en-US" w:eastAsia="zh-CN"/>
                    </w:rPr>
                    <w:t>50</w:t>
                  </w:r>
                  <w:r>
                    <w:rPr>
                      <w:rFonts w:hint="default" w:ascii="Times New Roman" w:hAnsi="Times New Roman" w:eastAsia="宋体" w:cs="Times New Roman"/>
                      <w:color w:val="auto"/>
                      <w:sz w:val="21"/>
                      <w:szCs w:val="21"/>
                      <w:highlight w:val="none"/>
                    </w:rPr>
                    <w:t>m范围</w:t>
                  </w:r>
                </w:p>
              </w:tc>
              <w:tc>
                <w:tcPr>
                  <w:tcW w:w="4070" w:type="dxa"/>
                  <w:gridSpan w:val="5"/>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厂界外5</w:t>
                  </w:r>
                  <w:r>
                    <w:rPr>
                      <w:rFonts w:hint="default" w:ascii="Times New Roman" w:hAnsi="Times New Roman" w:eastAsia="宋体" w:cs="Times New Roman"/>
                      <w:color w:val="auto"/>
                      <w:sz w:val="21"/>
                      <w:szCs w:val="21"/>
                      <w:highlight w:val="none"/>
                    </w:rPr>
                    <w:t>0m</w:t>
                  </w:r>
                  <w:r>
                    <w:rPr>
                      <w:rFonts w:hint="default" w:ascii="Times New Roman" w:hAnsi="Times New Roman" w:eastAsia="宋体" w:cs="Times New Roman"/>
                      <w:color w:val="auto"/>
                      <w:sz w:val="21"/>
                      <w:szCs w:val="21"/>
                      <w:highlight w:val="none"/>
                      <w:lang w:val="en-US" w:eastAsia="zh-CN"/>
                    </w:rPr>
                    <w:t>范围</w:t>
                  </w:r>
                  <w:r>
                    <w:rPr>
                      <w:rFonts w:hint="default" w:ascii="Times New Roman" w:hAnsi="Times New Roman" w:eastAsia="宋体" w:cs="Times New Roman"/>
                      <w:color w:val="auto"/>
                      <w:sz w:val="21"/>
                      <w:szCs w:val="21"/>
                      <w:highlight w:val="none"/>
                    </w:rPr>
                    <w:t>内无</w:t>
                  </w:r>
                  <w:r>
                    <w:rPr>
                      <w:rFonts w:hint="default" w:ascii="Times New Roman" w:hAnsi="Times New Roman" w:eastAsia="宋体" w:cs="Times New Roman"/>
                      <w:color w:val="auto"/>
                      <w:sz w:val="21"/>
                      <w:szCs w:val="21"/>
                      <w:highlight w:val="none"/>
                      <w:lang w:val="en-US" w:eastAsia="zh-CN"/>
                    </w:rPr>
                    <w:t>声环境保护目标</w:t>
                  </w:r>
                </w:p>
              </w:tc>
              <w:tc>
                <w:tcPr>
                  <w:tcW w:w="201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《声环境质量标准》（GB3096-2008）</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地下水</w:t>
                  </w:r>
                  <w:r>
                    <w:rPr>
                      <w:rFonts w:hint="default" w:ascii="Times New Roman" w:hAnsi="Times New Roman" w:eastAsia="宋体" w:cs="Times New Roman"/>
                      <w:color w:val="auto"/>
                      <w:sz w:val="21"/>
                      <w:szCs w:val="21"/>
                      <w:highlight w:val="none"/>
                    </w:rPr>
                    <w:t>环境</w:t>
                  </w:r>
                </w:p>
              </w:tc>
              <w:tc>
                <w:tcPr>
                  <w:tcW w:w="110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厂界外扩</w:t>
                  </w:r>
                  <w:r>
                    <w:rPr>
                      <w:rFonts w:hint="default" w:ascii="Times New Roman" w:hAnsi="Times New Roman" w:eastAsia="宋体" w:cs="Times New Roman"/>
                      <w:color w:val="auto"/>
                      <w:sz w:val="21"/>
                      <w:szCs w:val="21"/>
                      <w:highlight w:val="none"/>
                      <w:lang w:val="en-US" w:eastAsia="zh-CN"/>
                    </w:rPr>
                    <w:t>500m</w:t>
                  </w:r>
                  <w:r>
                    <w:rPr>
                      <w:rFonts w:hint="default" w:ascii="Times New Roman" w:hAnsi="Times New Roman" w:eastAsia="宋体" w:cs="Times New Roman"/>
                      <w:color w:val="auto"/>
                      <w:sz w:val="21"/>
                      <w:szCs w:val="21"/>
                      <w:highlight w:val="none"/>
                    </w:rPr>
                    <w:t>范围</w:t>
                  </w:r>
                </w:p>
              </w:tc>
              <w:tc>
                <w:tcPr>
                  <w:tcW w:w="4070" w:type="dxa"/>
                  <w:gridSpan w:val="5"/>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厂界外500m范围内无地下水集中式饮用水水源和热水、矿泉水、温泉等特殊地下水资源</w:t>
                  </w:r>
                </w:p>
              </w:tc>
              <w:tc>
                <w:tcPr>
                  <w:tcW w:w="201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《地下水质量标准》（GB/T14848-2017）中</w:t>
                  </w:r>
                  <w:r>
                    <w:rPr>
                      <w:rFonts w:hint="default" w:ascii="Times New Roman" w:hAnsi="Times New Roman" w:eastAsia="宋体" w:cs="Times New Roman"/>
                      <w:color w:val="auto"/>
                      <w:sz w:val="21"/>
                      <w:szCs w:val="21"/>
                      <w:highlight w:val="none"/>
                      <w:lang w:val="en-US" w:eastAsia="zh-CN"/>
                    </w:rPr>
                    <w:fldChar w:fldCharType="begin"/>
                  </w:r>
                  <w:r>
                    <w:rPr>
                      <w:rFonts w:hint="default" w:ascii="Times New Roman" w:hAnsi="Times New Roman" w:eastAsia="宋体" w:cs="Times New Roman"/>
                      <w:color w:val="auto"/>
                      <w:sz w:val="21"/>
                      <w:szCs w:val="21"/>
                      <w:highlight w:val="none"/>
                      <w:lang w:val="en-US" w:eastAsia="zh-CN"/>
                    </w:rPr>
                    <w:instrText xml:space="preserve"> = 3 \* ROMAN \* MERGEFORMAT </w:instrText>
                  </w:r>
                  <w:r>
                    <w:rPr>
                      <w:rFonts w:hint="default" w:ascii="Times New Roman" w:hAnsi="Times New Roman" w:eastAsia="宋体" w:cs="Times New Roman"/>
                      <w:color w:val="auto"/>
                      <w:sz w:val="21"/>
                      <w:szCs w:val="21"/>
                      <w:highlight w:val="none"/>
                      <w:lang w:val="en-US" w:eastAsia="zh-CN"/>
                    </w:rPr>
                    <w:fldChar w:fldCharType="separate"/>
                  </w:r>
                  <w:r>
                    <w:rPr>
                      <w:rFonts w:hint="default" w:ascii="Times New Roman" w:hAnsi="Times New Roman" w:eastAsia="宋体" w:cs="Times New Roman"/>
                      <w:color w:val="auto"/>
                      <w:sz w:val="21"/>
                      <w:szCs w:val="21"/>
                      <w:highlight w:val="none"/>
                      <w:lang w:val="en-US" w:eastAsia="zh-CN"/>
                    </w:rPr>
                    <w:t>III</w:t>
                  </w:r>
                  <w:r>
                    <w:rPr>
                      <w:rFonts w:hint="default" w:ascii="Times New Roman" w:hAnsi="Times New Roman" w:eastAsia="宋体" w:cs="Times New Roman"/>
                      <w:color w:val="auto"/>
                      <w:sz w:val="21"/>
                      <w:szCs w:val="21"/>
                      <w:highlight w:val="none"/>
                      <w:lang w:val="en-US" w:eastAsia="zh-CN"/>
                    </w:rPr>
                    <w:fldChar w:fldCharType="end"/>
                  </w:r>
                  <w:r>
                    <w:rPr>
                      <w:rFonts w:hint="default" w:ascii="Times New Roman" w:hAnsi="Times New Roman" w:eastAsia="宋体" w:cs="Times New Roman"/>
                      <w:color w:val="auto"/>
                      <w:sz w:val="21"/>
                      <w:szCs w:val="21"/>
                      <w:highlight w:val="none"/>
                      <w:lang w:val="en-US" w:eastAsia="zh-CN"/>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生态环境</w:t>
                  </w:r>
                </w:p>
              </w:tc>
              <w:tc>
                <w:tcPr>
                  <w:tcW w:w="5173" w:type="dxa"/>
                  <w:gridSpan w:val="6"/>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改建项目不新增占地，现有锅炉房</w:t>
                  </w:r>
                  <w:r>
                    <w:rPr>
                      <w:rFonts w:hint="default" w:ascii="Times New Roman" w:hAnsi="Times New Roman" w:eastAsia="宋体" w:cs="Times New Roman"/>
                      <w:color w:val="auto"/>
                      <w:sz w:val="21"/>
                      <w:szCs w:val="21"/>
                      <w:highlight w:val="none"/>
                    </w:rPr>
                    <w:t>用地性质为工业用地，无自然植被覆盖，无生态环境保护目标</w:t>
                  </w:r>
                </w:p>
              </w:tc>
              <w:tc>
                <w:tcPr>
                  <w:tcW w:w="201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p>
              </w:tc>
            </w:tr>
          </w:tbl>
          <w:p>
            <w:pPr>
              <w:widowControl/>
              <w:kinsoku/>
              <w:wordWrap/>
              <w:bidi w:val="0"/>
              <w:spacing w:line="360" w:lineRule="auto"/>
              <w:ind w:left="0" w:leftChars="0" w:right="0" w:rightChars="0" w:firstLine="0" w:firstLineChars="0"/>
              <w:rPr>
                <w:rFonts w:hint="default" w:ascii="Times New Roman" w:hAnsi="Times New Roman" w:eastAsia="宋体" w:cs="Times New Roman"/>
                <w:color w:val="auto"/>
                <w:kern w:val="0"/>
                <w:sz w:val="21"/>
                <w:szCs w:val="18"/>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68" w:type="dxa"/>
            <w:vAlign w:val="center"/>
          </w:tcPr>
          <w:p>
            <w:pPr>
              <w:kinsoku/>
              <w:wordWrap/>
              <w:bidi w:val="0"/>
              <w:adjustRightInd w:val="0"/>
              <w:snapToGrid w:val="0"/>
              <w:spacing w:line="360" w:lineRule="auto"/>
              <w:ind w:left="0" w:leftChars="0" w:right="0" w:rightChars="0" w:firstLine="0" w:firstLineChars="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污染</w:t>
            </w:r>
          </w:p>
          <w:p>
            <w:pPr>
              <w:kinsoku/>
              <w:wordWrap/>
              <w:bidi w:val="0"/>
              <w:adjustRightInd w:val="0"/>
              <w:snapToGrid w:val="0"/>
              <w:spacing w:line="360" w:lineRule="auto"/>
              <w:ind w:left="0" w:leftChars="0" w:right="0" w:rightChars="0" w:firstLine="0" w:firstLineChars="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物排</w:t>
            </w:r>
          </w:p>
          <w:p>
            <w:pPr>
              <w:kinsoku/>
              <w:wordWrap/>
              <w:bidi w:val="0"/>
              <w:adjustRightInd w:val="0"/>
              <w:snapToGrid w:val="0"/>
              <w:spacing w:line="360" w:lineRule="auto"/>
              <w:ind w:left="0" w:leftChars="0" w:right="0" w:rightChars="0" w:firstLine="0" w:firstLineChars="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放控</w:t>
            </w:r>
          </w:p>
          <w:p>
            <w:pPr>
              <w:kinsoku/>
              <w:wordWrap/>
              <w:bidi w:val="0"/>
              <w:adjustRightInd w:val="0"/>
              <w:snapToGrid w:val="0"/>
              <w:spacing w:line="360" w:lineRule="auto"/>
              <w:ind w:left="0" w:leftChars="0" w:right="0" w:rightChars="0" w:firstLine="0" w:firstLineChars="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制标</w:t>
            </w:r>
          </w:p>
          <w:p>
            <w:pPr>
              <w:kinsoku/>
              <w:wordWrap/>
              <w:bidi w:val="0"/>
              <w:adjustRightInd w:val="0"/>
              <w:snapToGrid w:val="0"/>
              <w:spacing w:line="360" w:lineRule="auto"/>
              <w:ind w:left="0" w:leftChars="0" w:right="0" w:rightChars="0" w:firstLine="0" w:firstLineChars="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准</w:t>
            </w:r>
          </w:p>
        </w:tc>
        <w:tc>
          <w:tcPr>
            <w:tcW w:w="7854" w:type="dxa"/>
          </w:tcPr>
          <w:p>
            <w:pPr>
              <w:bidi w:val="0"/>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val="en-US" w:eastAsia="zh-CN"/>
              </w:rPr>
              <w:t>1、</w:t>
            </w:r>
            <w:r>
              <w:rPr>
                <w:rFonts w:hint="default" w:ascii="Times New Roman" w:hAnsi="Times New Roman" w:eastAsia="宋体" w:cs="Times New Roman"/>
                <w:b/>
                <w:bCs/>
                <w:color w:val="auto"/>
                <w:highlight w:val="none"/>
                <w:lang w:eastAsia="zh-CN"/>
              </w:rPr>
              <w:t>废气排放标准</w:t>
            </w:r>
          </w:p>
          <w:p>
            <w:pPr>
              <w:bidi w:val="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1.1施工期</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改建项目施工期产生的废气污染物主要是颗粒物，排放执行《大气污染物综合排放标准》（GB16297-1996）表2新污染源大气污染物排放限值中“无组织排放监控浓度限值”，具体标准值见表3-3。</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表3-3  《大气污染物综合排放标准》（GB16297-1996）</w:t>
            </w:r>
          </w:p>
          <w:tbl>
            <w:tblPr>
              <w:tblStyle w:val="20"/>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57"/>
              <w:gridCol w:w="2757"/>
              <w:gridCol w:w="27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2558"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污染源</w:t>
                  </w:r>
                </w:p>
              </w:tc>
              <w:tc>
                <w:tcPr>
                  <w:tcW w:w="5121"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5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p>
              </w:tc>
              <w:tc>
                <w:tcPr>
                  <w:tcW w:w="25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监控点</w:t>
                  </w:r>
                </w:p>
              </w:tc>
              <w:tc>
                <w:tcPr>
                  <w:tcW w:w="256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浓度（mg/m</w:t>
                  </w:r>
                  <w:r>
                    <w:rPr>
                      <w:rFonts w:hint="default" w:ascii="Times New Roman" w:hAnsi="Times New Roman" w:eastAsia="宋体" w:cs="Times New Roman"/>
                      <w:b/>
                      <w:bCs/>
                      <w:color w:val="auto"/>
                      <w:sz w:val="21"/>
                      <w:szCs w:val="21"/>
                      <w:highlight w:val="none"/>
                      <w:vertAlign w:val="superscript"/>
                      <w:lang w:val="en-US" w:eastAsia="zh-CN"/>
                    </w:rPr>
                    <w:t>3</w:t>
                  </w:r>
                  <w:r>
                    <w:rPr>
                      <w:rFonts w:hint="default" w:ascii="Times New Roman" w:hAnsi="Times New Roman" w:eastAsia="宋体" w:cs="Times New Roman"/>
                      <w:b/>
                      <w:bCs/>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颗粒物</w:t>
                  </w:r>
                </w:p>
              </w:tc>
              <w:tc>
                <w:tcPr>
                  <w:tcW w:w="25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周界外浓度最高点</w:t>
                  </w:r>
                </w:p>
              </w:tc>
              <w:tc>
                <w:tcPr>
                  <w:tcW w:w="256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1.0</w:t>
                  </w:r>
                </w:p>
              </w:tc>
            </w:tr>
          </w:tbl>
          <w:p>
            <w:pPr>
              <w:bidi w:val="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1.2运营期</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（1）锅炉废气</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根据《锅炉大气污染物排放标准》（GB</w:t>
            </w:r>
            <w:r>
              <w:rPr>
                <w:rFonts w:hint="default" w:ascii="Times New Roman" w:hAnsi="Times New Roman" w:eastAsia="宋体" w:cs="Times New Roman"/>
                <w:color w:val="auto"/>
                <w:highlight w:val="none"/>
                <w:lang w:eastAsia="zh-CN"/>
              </w:rPr>
              <w:t>13271</w:t>
            </w:r>
            <w:r>
              <w:rPr>
                <w:rFonts w:hint="default" w:ascii="Times New Roman" w:hAnsi="Times New Roman" w:eastAsia="宋体" w:cs="Times New Roman"/>
                <w:color w:val="auto"/>
                <w:highlight w:val="none"/>
              </w:rPr>
              <w:t>-2014）中规定，生物质热水锅炉参照该标准中燃煤锅炉排放控制要求执行，因此，</w:t>
            </w:r>
            <w:r>
              <w:rPr>
                <w:rFonts w:hint="default" w:ascii="Times New Roman" w:hAnsi="Times New Roman" w:eastAsia="宋体" w:cs="Times New Roman"/>
                <w:color w:val="auto"/>
                <w:highlight w:val="none"/>
                <w:lang w:eastAsia="zh-CN"/>
              </w:rPr>
              <w:t>改建项目</w:t>
            </w:r>
            <w:r>
              <w:rPr>
                <w:rFonts w:hint="default" w:ascii="Times New Roman" w:hAnsi="Times New Roman" w:eastAsia="宋体" w:cs="Times New Roman"/>
                <w:color w:val="auto"/>
                <w:highlight w:val="none"/>
              </w:rPr>
              <w:t>新建生物质热水锅炉执行《锅炉大气污染物排放标准》（GB</w:t>
            </w:r>
            <w:r>
              <w:rPr>
                <w:rFonts w:hint="default" w:ascii="Times New Roman" w:hAnsi="Times New Roman" w:eastAsia="宋体" w:cs="Times New Roman"/>
                <w:color w:val="auto"/>
                <w:highlight w:val="none"/>
                <w:lang w:eastAsia="zh-CN"/>
              </w:rPr>
              <w:t>13271</w:t>
            </w:r>
            <w:r>
              <w:rPr>
                <w:rFonts w:hint="default" w:ascii="Times New Roman" w:hAnsi="Times New Roman" w:eastAsia="宋体" w:cs="Times New Roman"/>
                <w:color w:val="auto"/>
                <w:highlight w:val="none"/>
              </w:rPr>
              <w:t>-2014）表2新建锅炉大气污染物排放限值中“燃煤锅炉”限值，具体见表3-</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w:t>
            </w:r>
          </w:p>
          <w:p>
            <w:pPr>
              <w:bidi w:val="0"/>
              <w:ind w:left="0" w:leftChars="0" w:firstLine="0" w:firstLineChars="0"/>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表3-4  《锅炉大气污染物排放标准》（GB13271-2014）</w:t>
            </w:r>
          </w:p>
          <w:tbl>
            <w:tblPr>
              <w:tblStyle w:val="19"/>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47"/>
              <w:gridCol w:w="1947"/>
              <w:gridCol w:w="2436"/>
              <w:gridCol w:w="19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6"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污染物项目</w:t>
                  </w:r>
                </w:p>
              </w:tc>
              <w:tc>
                <w:tcPr>
                  <w:tcW w:w="117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pacing w:val="0"/>
                      <w:sz w:val="21"/>
                      <w:szCs w:val="21"/>
                      <w:highlight w:val="none"/>
                    </w:rPr>
                    <w:t>限值</w:t>
                  </w:r>
                </w:p>
              </w:tc>
              <w:tc>
                <w:tcPr>
                  <w:tcW w:w="1471"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单位</w:t>
                  </w:r>
                </w:p>
              </w:tc>
              <w:tc>
                <w:tcPr>
                  <w:tcW w:w="1176"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污染物排放监控位置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val="0"/>
                      <w:color w:val="auto"/>
                      <w:spacing w:val="0"/>
                      <w:sz w:val="21"/>
                      <w:szCs w:val="21"/>
                      <w:highlight w:val="none"/>
                    </w:rPr>
                  </w:pPr>
                </w:p>
              </w:tc>
              <w:tc>
                <w:tcPr>
                  <w:tcW w:w="117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燃煤锅炉</w:t>
                  </w:r>
                </w:p>
              </w:tc>
              <w:tc>
                <w:tcPr>
                  <w:tcW w:w="147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val="0"/>
                      <w:color w:val="auto"/>
                      <w:spacing w:val="0"/>
                      <w:sz w:val="21"/>
                      <w:szCs w:val="21"/>
                      <w:highlight w:val="none"/>
                    </w:rPr>
                  </w:pPr>
                </w:p>
              </w:tc>
              <w:tc>
                <w:tcPr>
                  <w:tcW w:w="117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val="0"/>
                      <w:color w:val="auto"/>
                      <w:spacing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颗粒物</w:t>
                  </w:r>
                </w:p>
              </w:tc>
              <w:tc>
                <w:tcPr>
                  <w:tcW w:w="117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50</w:t>
                  </w:r>
                </w:p>
              </w:tc>
              <w:tc>
                <w:tcPr>
                  <w:tcW w:w="147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mg/m</w:t>
                  </w:r>
                  <w:r>
                    <w:rPr>
                      <w:rFonts w:hint="default" w:ascii="Times New Roman" w:hAnsi="Times New Roman" w:eastAsia="宋体" w:cs="Times New Roman"/>
                      <w:bCs/>
                      <w:color w:val="auto"/>
                      <w:spacing w:val="0"/>
                      <w:sz w:val="21"/>
                      <w:szCs w:val="21"/>
                      <w:highlight w:val="none"/>
                      <w:vertAlign w:val="superscript"/>
                    </w:rPr>
                    <w:t>3</w:t>
                  </w:r>
                </w:p>
              </w:tc>
              <w:tc>
                <w:tcPr>
                  <w:tcW w:w="1176"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lang w:eastAsia="zh-CN"/>
                    </w:rPr>
                  </w:pPr>
                  <w:r>
                    <w:rPr>
                      <w:rFonts w:hint="default" w:ascii="Times New Roman" w:hAnsi="Times New Roman" w:eastAsia="宋体" w:cs="Times New Roman"/>
                      <w:bCs/>
                      <w:color w:val="auto"/>
                      <w:spacing w:val="0"/>
                      <w:sz w:val="21"/>
                      <w:szCs w:val="21"/>
                      <w:highlight w:val="none"/>
                    </w:rPr>
                    <w:t>烟囱</w:t>
                  </w:r>
                  <w:r>
                    <w:rPr>
                      <w:rFonts w:hint="default" w:ascii="Times New Roman" w:hAnsi="Times New Roman" w:eastAsia="宋体" w:cs="Times New Roman"/>
                      <w:bCs/>
                      <w:color w:val="auto"/>
                      <w:spacing w:val="0"/>
                      <w:sz w:val="21"/>
                      <w:szCs w:val="21"/>
                      <w:highlight w:val="none"/>
                      <w:lang w:eastAsia="zh-CN"/>
                    </w:rPr>
                    <w:t>或烟道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二氧化硫</w:t>
                  </w:r>
                </w:p>
              </w:tc>
              <w:tc>
                <w:tcPr>
                  <w:tcW w:w="117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300</w:t>
                  </w:r>
                </w:p>
              </w:tc>
              <w:tc>
                <w:tcPr>
                  <w:tcW w:w="147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mg/m</w:t>
                  </w:r>
                  <w:r>
                    <w:rPr>
                      <w:rFonts w:hint="default" w:ascii="Times New Roman" w:hAnsi="Times New Roman" w:eastAsia="宋体" w:cs="Times New Roman"/>
                      <w:bCs/>
                      <w:color w:val="auto"/>
                      <w:spacing w:val="0"/>
                      <w:sz w:val="21"/>
                      <w:szCs w:val="21"/>
                      <w:highlight w:val="none"/>
                      <w:vertAlign w:val="superscript"/>
                    </w:rPr>
                    <w:t>3</w:t>
                  </w:r>
                </w:p>
              </w:tc>
              <w:tc>
                <w:tcPr>
                  <w:tcW w:w="117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氮氧化物</w:t>
                  </w:r>
                </w:p>
              </w:tc>
              <w:tc>
                <w:tcPr>
                  <w:tcW w:w="117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300</w:t>
                  </w:r>
                </w:p>
              </w:tc>
              <w:tc>
                <w:tcPr>
                  <w:tcW w:w="147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mg/m</w:t>
                  </w:r>
                  <w:r>
                    <w:rPr>
                      <w:rFonts w:hint="default" w:ascii="Times New Roman" w:hAnsi="Times New Roman" w:eastAsia="宋体" w:cs="Times New Roman"/>
                      <w:bCs/>
                      <w:color w:val="auto"/>
                      <w:spacing w:val="0"/>
                      <w:sz w:val="21"/>
                      <w:szCs w:val="21"/>
                      <w:highlight w:val="none"/>
                      <w:vertAlign w:val="superscript"/>
                    </w:rPr>
                    <w:t>3</w:t>
                  </w:r>
                </w:p>
              </w:tc>
              <w:tc>
                <w:tcPr>
                  <w:tcW w:w="117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color w:val="auto"/>
                      <w:sz w:val="21"/>
                      <w:szCs w:val="21"/>
                      <w:highlight w:val="none"/>
                    </w:rPr>
                    <w:t>汞及其化合物</w:t>
                  </w:r>
                </w:p>
              </w:tc>
              <w:tc>
                <w:tcPr>
                  <w:tcW w:w="117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0.05</w:t>
                  </w:r>
                </w:p>
              </w:tc>
              <w:tc>
                <w:tcPr>
                  <w:tcW w:w="147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mg/m</w:t>
                  </w:r>
                  <w:r>
                    <w:rPr>
                      <w:rFonts w:hint="default" w:ascii="Times New Roman" w:hAnsi="Times New Roman" w:eastAsia="宋体" w:cs="Times New Roman"/>
                      <w:bCs/>
                      <w:color w:val="auto"/>
                      <w:spacing w:val="0"/>
                      <w:sz w:val="21"/>
                      <w:szCs w:val="21"/>
                      <w:highlight w:val="none"/>
                      <w:vertAlign w:val="superscript"/>
                    </w:rPr>
                    <w:t>3</w:t>
                  </w:r>
                </w:p>
              </w:tc>
              <w:tc>
                <w:tcPr>
                  <w:tcW w:w="117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烟气黑度</w:t>
                  </w:r>
                </w:p>
              </w:tc>
              <w:tc>
                <w:tcPr>
                  <w:tcW w:w="117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≤1</w:t>
                  </w:r>
                </w:p>
              </w:tc>
              <w:tc>
                <w:tcPr>
                  <w:tcW w:w="147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lang w:eastAsia="zh-CN"/>
                    </w:rPr>
                    <w:t>（</w:t>
                  </w:r>
                  <w:r>
                    <w:rPr>
                      <w:rFonts w:hint="default" w:ascii="Times New Roman" w:hAnsi="Times New Roman" w:eastAsia="宋体" w:cs="Times New Roman"/>
                      <w:bCs/>
                      <w:color w:val="auto"/>
                      <w:spacing w:val="0"/>
                      <w:sz w:val="21"/>
                      <w:szCs w:val="21"/>
                      <w:highlight w:val="none"/>
                    </w:rPr>
                    <w:t>林格曼黑度，级）</w:t>
                  </w:r>
                </w:p>
              </w:tc>
              <w:tc>
                <w:tcPr>
                  <w:tcW w:w="117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rPr>
                  </w:pPr>
                  <w:r>
                    <w:rPr>
                      <w:rFonts w:hint="default" w:ascii="Times New Roman" w:hAnsi="Times New Roman" w:eastAsia="宋体" w:cs="Times New Roman"/>
                      <w:bCs/>
                      <w:color w:val="auto"/>
                      <w:spacing w:val="0"/>
                      <w:sz w:val="21"/>
                      <w:szCs w:val="21"/>
                      <w:highlight w:val="none"/>
                    </w:rPr>
                    <w:t>烟囱排放口</w:t>
                  </w:r>
                </w:p>
              </w:tc>
            </w:tr>
          </w:tbl>
          <w:p>
            <w:pPr>
              <w:keepNext w:val="0"/>
              <w:keepLines w:val="0"/>
              <w:pageBreakBefore w:val="0"/>
              <w:suppressLineNumbers w:val="0"/>
              <w:kinsoku/>
              <w:wordWrap/>
              <w:overflowPunct/>
              <w:bidi w:val="0"/>
              <w:spacing w:before="0" w:beforeAutospacing="0" w:after="0" w:afterAutospacing="0"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根据《锅炉大气污染物排放标准》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GB13271-2014）</w:t>
            </w:r>
            <w:r>
              <w:rPr>
                <w:rFonts w:hint="default" w:ascii="Times New Roman" w:hAnsi="Times New Roman" w:eastAsia="宋体" w:cs="Times New Roman"/>
                <w:color w:val="auto"/>
                <w:sz w:val="24"/>
                <w:highlight w:val="none"/>
                <w:lang w:eastAsia="zh-CN"/>
              </w:rPr>
              <w:t>表</w:t>
            </w:r>
            <w:r>
              <w:rPr>
                <w:rFonts w:hint="default" w:ascii="Times New Roman" w:hAnsi="Times New Roman" w:eastAsia="宋体" w:cs="Times New Roman"/>
                <w:color w:val="auto"/>
                <w:sz w:val="24"/>
                <w:highlight w:val="none"/>
                <w:lang w:val="en-US" w:eastAsia="zh-CN"/>
              </w:rPr>
              <w:t>4燃煤锅炉房烟囱最低允许高度</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改建项目</w:t>
            </w:r>
            <w:r>
              <w:rPr>
                <w:rFonts w:hint="default" w:ascii="Times New Roman" w:hAnsi="Times New Roman" w:eastAsia="宋体" w:cs="Times New Roman"/>
                <w:color w:val="auto"/>
                <w:sz w:val="24"/>
                <w:highlight w:val="none"/>
              </w:rPr>
              <w:t>排气筒最低允许高度</w:t>
            </w:r>
            <w:r>
              <w:rPr>
                <w:rFonts w:hint="default" w:ascii="Times New Roman" w:hAnsi="Times New Roman" w:eastAsia="宋体" w:cs="Times New Roman"/>
                <w:color w:val="auto"/>
                <w:sz w:val="24"/>
                <w:highlight w:val="none"/>
                <w:lang w:val="en-US" w:eastAsia="zh-CN"/>
              </w:rPr>
              <w:t>详见</w:t>
            </w:r>
            <w:r>
              <w:rPr>
                <w:rFonts w:hint="default" w:ascii="Times New Roman" w:hAnsi="Times New Roman" w:eastAsia="宋体" w:cs="Times New Roman"/>
                <w:color w:val="auto"/>
                <w:sz w:val="24"/>
                <w:highlight w:val="none"/>
              </w:rPr>
              <w:t>表</w:t>
            </w:r>
            <w:r>
              <w:rPr>
                <w:rFonts w:hint="default" w:ascii="Times New Roman" w:hAnsi="Times New Roman" w:eastAsia="宋体" w:cs="Times New Roman"/>
                <w:color w:val="auto"/>
                <w:sz w:val="24"/>
                <w:highlight w:val="none"/>
                <w:lang w:val="en-US" w:eastAsia="zh-CN"/>
              </w:rPr>
              <w:t>3-5</w:t>
            </w:r>
            <w:r>
              <w:rPr>
                <w:rFonts w:hint="default" w:ascii="Times New Roman" w:hAnsi="Times New Roman" w:eastAsia="宋体" w:cs="Times New Roman"/>
                <w:color w:val="auto"/>
                <w:sz w:val="24"/>
                <w:highlight w:val="none"/>
              </w:rPr>
              <w:t>。</w:t>
            </w:r>
          </w:p>
          <w:p>
            <w:pPr>
              <w:keepNext w:val="0"/>
              <w:keepLines w:val="0"/>
              <w:pageBreakBefore w:val="0"/>
              <w:suppressLineNumbers w:val="0"/>
              <w:kinsoku/>
              <w:wordWrap/>
              <w:overflowPunct/>
              <w:bidi w:val="0"/>
              <w:adjustRightInd w:val="0"/>
              <w:snapToGrid w:val="0"/>
              <w:spacing w:before="0" w:beforeAutospacing="0" w:after="0" w:afterAutospacing="0" w:line="360" w:lineRule="auto"/>
              <w:ind w:left="0" w:leftChars="0" w:right="0" w:rightChars="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表3</w:t>
            </w:r>
            <w:r>
              <w:rPr>
                <w:rFonts w:hint="default" w:ascii="Times New Roman" w:hAnsi="Times New Roman" w:eastAsia="宋体" w:cs="Times New Roman"/>
                <w:b/>
                <w:color w:val="auto"/>
                <w:sz w:val="24"/>
                <w:highlight w:val="none"/>
                <w:lang w:val="en-US" w:eastAsia="zh-CN"/>
              </w:rPr>
              <w:t>-5  锅炉房烟囱最低允许高度</w:t>
            </w:r>
          </w:p>
          <w:tbl>
            <w:tblPr>
              <w:tblStyle w:val="19"/>
              <w:tblW w:w="8277"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112"/>
              <w:gridCol w:w="738"/>
              <w:gridCol w:w="922"/>
              <w:gridCol w:w="1158"/>
              <w:gridCol w:w="1093"/>
              <w:gridCol w:w="1084"/>
              <w:gridCol w:w="1085"/>
              <w:gridCol w:w="1085"/>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2" w:type="dxa"/>
                  <w:vMerge w:val="restart"/>
                  <w:noWrap w:val="0"/>
                  <w:vAlign w:val="center"/>
                </w:tcPr>
                <w:p>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锅炉房装机总容量</w:t>
                  </w:r>
                </w:p>
              </w:tc>
              <w:tc>
                <w:tcPr>
                  <w:tcW w:w="750" w:type="dxa"/>
                  <w:noWrap w:val="0"/>
                  <w:vAlign w:val="center"/>
                </w:tcPr>
                <w:p>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MW</w:t>
                  </w:r>
                </w:p>
              </w:tc>
              <w:tc>
                <w:tcPr>
                  <w:tcW w:w="938" w:type="dxa"/>
                  <w:noWrap w:val="0"/>
                  <w:vAlign w:val="center"/>
                </w:tcPr>
                <w:p>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eastAsia" w:cs="Times New Roman"/>
                      <w:b w:val="0"/>
                      <w:bCs w:val="0"/>
                      <w:color w:val="auto"/>
                      <w:sz w:val="21"/>
                      <w:szCs w:val="21"/>
                      <w:highlight w:val="none"/>
                      <w:lang w:eastAsia="zh-CN"/>
                    </w:rPr>
                    <w:t>&lt;</w:t>
                  </w:r>
                  <w:r>
                    <w:rPr>
                      <w:rFonts w:hint="default" w:ascii="Times New Roman" w:hAnsi="Times New Roman" w:eastAsia="宋体" w:cs="Times New Roman"/>
                      <w:b w:val="0"/>
                      <w:bCs w:val="0"/>
                      <w:color w:val="auto"/>
                      <w:sz w:val="21"/>
                      <w:szCs w:val="21"/>
                      <w:highlight w:val="none"/>
                    </w:rPr>
                    <w:t>0.7</w:t>
                  </w:r>
                </w:p>
              </w:tc>
              <w:tc>
                <w:tcPr>
                  <w:tcW w:w="1179" w:type="dxa"/>
                  <w:noWrap w:val="0"/>
                  <w:vAlign w:val="center"/>
                </w:tcPr>
                <w:p>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0.7</w:t>
                  </w:r>
                  <w:r>
                    <w:rPr>
                      <w:rFonts w:hint="eastAsia" w:cs="Times New Roman"/>
                      <w:b w:val="0"/>
                      <w:bCs w:val="0"/>
                      <w:color w:val="auto"/>
                      <w:sz w:val="21"/>
                      <w:szCs w:val="21"/>
                      <w:highlight w:val="none"/>
                      <w:lang w:eastAsia="zh-CN"/>
                    </w:rPr>
                    <w:t>~&lt;</w:t>
                  </w:r>
                  <w:r>
                    <w:rPr>
                      <w:rFonts w:hint="default" w:ascii="Times New Roman" w:hAnsi="Times New Roman" w:eastAsia="宋体" w:cs="Times New Roman"/>
                      <w:b w:val="0"/>
                      <w:bCs w:val="0"/>
                      <w:color w:val="auto"/>
                      <w:sz w:val="21"/>
                      <w:szCs w:val="21"/>
                      <w:highlight w:val="none"/>
                    </w:rPr>
                    <w:t>1.4</w:t>
                  </w:r>
                </w:p>
              </w:tc>
              <w:tc>
                <w:tcPr>
                  <w:tcW w:w="1113" w:type="dxa"/>
                  <w:noWrap w:val="0"/>
                  <w:vAlign w:val="center"/>
                </w:tcPr>
                <w:p>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1.4</w:t>
                  </w:r>
                  <w:r>
                    <w:rPr>
                      <w:rFonts w:hint="eastAsia" w:cs="Times New Roman"/>
                      <w:b w:val="0"/>
                      <w:bCs w:val="0"/>
                      <w:color w:val="auto"/>
                      <w:sz w:val="21"/>
                      <w:szCs w:val="21"/>
                      <w:highlight w:val="none"/>
                      <w:lang w:eastAsia="zh-CN"/>
                    </w:rPr>
                    <w:t>~&lt;</w:t>
                  </w:r>
                  <w:r>
                    <w:rPr>
                      <w:rFonts w:hint="default" w:ascii="Times New Roman" w:hAnsi="Times New Roman" w:eastAsia="宋体" w:cs="Times New Roman"/>
                      <w:b w:val="0"/>
                      <w:bCs w:val="0"/>
                      <w:color w:val="auto"/>
                      <w:sz w:val="21"/>
                      <w:szCs w:val="21"/>
                      <w:highlight w:val="none"/>
                    </w:rPr>
                    <w:t>2.8</w:t>
                  </w:r>
                </w:p>
              </w:tc>
              <w:tc>
                <w:tcPr>
                  <w:tcW w:w="1104" w:type="dxa"/>
                  <w:noWrap w:val="0"/>
                  <w:vAlign w:val="center"/>
                </w:tcPr>
                <w:p>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2.8</w:t>
                  </w:r>
                  <w:r>
                    <w:rPr>
                      <w:rFonts w:hint="eastAsia" w:cs="Times New Roman"/>
                      <w:b w:val="0"/>
                      <w:bCs w:val="0"/>
                      <w:color w:val="auto"/>
                      <w:sz w:val="21"/>
                      <w:szCs w:val="21"/>
                      <w:highlight w:val="none"/>
                      <w:lang w:eastAsia="zh-CN"/>
                    </w:rPr>
                    <w:t>~&lt;</w:t>
                  </w:r>
                  <w:r>
                    <w:rPr>
                      <w:rFonts w:hint="default" w:ascii="Times New Roman" w:hAnsi="Times New Roman" w:eastAsia="宋体" w:cs="Times New Roman"/>
                      <w:b w:val="0"/>
                      <w:bCs w:val="0"/>
                      <w:color w:val="auto"/>
                      <w:sz w:val="21"/>
                      <w:szCs w:val="21"/>
                      <w:highlight w:val="none"/>
                    </w:rPr>
                    <w:t>7</w:t>
                  </w:r>
                </w:p>
              </w:tc>
              <w:tc>
                <w:tcPr>
                  <w:tcW w:w="1104" w:type="dxa"/>
                  <w:noWrap w:val="0"/>
                  <w:vAlign w:val="center"/>
                </w:tcPr>
                <w:p>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7</w:t>
                  </w:r>
                  <w:r>
                    <w:rPr>
                      <w:rFonts w:hint="eastAsia" w:cs="Times New Roman"/>
                      <w:b/>
                      <w:bCs/>
                      <w:color w:val="auto"/>
                      <w:sz w:val="21"/>
                      <w:szCs w:val="21"/>
                      <w:highlight w:val="none"/>
                      <w:lang w:eastAsia="zh-CN"/>
                    </w:rPr>
                    <w:t>~&lt;</w:t>
                  </w:r>
                  <w:r>
                    <w:rPr>
                      <w:rFonts w:hint="default" w:ascii="Times New Roman" w:hAnsi="Times New Roman" w:eastAsia="宋体" w:cs="Times New Roman"/>
                      <w:b/>
                      <w:bCs/>
                      <w:color w:val="auto"/>
                      <w:sz w:val="21"/>
                      <w:szCs w:val="21"/>
                      <w:highlight w:val="none"/>
                    </w:rPr>
                    <w:t>14</w:t>
                  </w:r>
                </w:p>
              </w:tc>
              <w:tc>
                <w:tcPr>
                  <w:tcW w:w="1104" w:type="dxa"/>
                  <w:noWrap w:val="0"/>
                  <w:vAlign w:val="center"/>
                </w:tcPr>
                <w:p>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≥14</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56"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s="Times New Roman"/>
                      <w:b w:val="0"/>
                      <w:bCs w:val="0"/>
                      <w:color w:val="auto"/>
                      <w:sz w:val="21"/>
                      <w:szCs w:val="21"/>
                      <w:highlight w:val="none"/>
                    </w:rPr>
                  </w:pPr>
                </w:p>
              </w:tc>
              <w:tc>
                <w:tcPr>
                  <w:tcW w:w="750" w:type="dxa"/>
                  <w:noWrap w:val="0"/>
                  <w:vAlign w:val="center"/>
                </w:tcPr>
                <w:p>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t/h</w:t>
                  </w:r>
                </w:p>
              </w:tc>
              <w:tc>
                <w:tcPr>
                  <w:tcW w:w="938" w:type="dxa"/>
                  <w:noWrap w:val="0"/>
                  <w:vAlign w:val="center"/>
                </w:tcPr>
                <w:p>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eastAsia" w:cs="Times New Roman"/>
                      <w:b w:val="0"/>
                      <w:bCs w:val="0"/>
                      <w:color w:val="auto"/>
                      <w:sz w:val="21"/>
                      <w:szCs w:val="21"/>
                      <w:highlight w:val="none"/>
                      <w:lang w:eastAsia="zh-CN"/>
                    </w:rPr>
                    <w:t>&lt;</w:t>
                  </w:r>
                  <w:r>
                    <w:rPr>
                      <w:rFonts w:hint="default" w:ascii="Times New Roman" w:hAnsi="Times New Roman" w:eastAsia="宋体" w:cs="Times New Roman"/>
                      <w:b w:val="0"/>
                      <w:bCs w:val="0"/>
                      <w:color w:val="auto"/>
                      <w:sz w:val="21"/>
                      <w:szCs w:val="21"/>
                      <w:highlight w:val="none"/>
                    </w:rPr>
                    <w:t>1</w:t>
                  </w:r>
                </w:p>
              </w:tc>
              <w:tc>
                <w:tcPr>
                  <w:tcW w:w="1179" w:type="dxa"/>
                  <w:noWrap w:val="0"/>
                  <w:vAlign w:val="center"/>
                </w:tcPr>
                <w:p>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1</w:t>
                  </w:r>
                  <w:r>
                    <w:rPr>
                      <w:rFonts w:hint="eastAsia" w:cs="Times New Roman"/>
                      <w:b w:val="0"/>
                      <w:bCs w:val="0"/>
                      <w:color w:val="auto"/>
                      <w:sz w:val="21"/>
                      <w:szCs w:val="21"/>
                      <w:highlight w:val="none"/>
                      <w:lang w:eastAsia="zh-CN"/>
                    </w:rPr>
                    <w:t>~&lt;</w:t>
                  </w:r>
                  <w:r>
                    <w:rPr>
                      <w:rFonts w:hint="default" w:ascii="Times New Roman" w:hAnsi="Times New Roman" w:eastAsia="宋体" w:cs="Times New Roman"/>
                      <w:b w:val="0"/>
                      <w:bCs w:val="0"/>
                      <w:color w:val="auto"/>
                      <w:sz w:val="21"/>
                      <w:szCs w:val="21"/>
                      <w:highlight w:val="none"/>
                    </w:rPr>
                    <w:t>2</w:t>
                  </w:r>
                </w:p>
              </w:tc>
              <w:tc>
                <w:tcPr>
                  <w:tcW w:w="1113" w:type="dxa"/>
                  <w:noWrap w:val="0"/>
                  <w:vAlign w:val="center"/>
                </w:tcPr>
                <w:p>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2</w:t>
                  </w:r>
                  <w:r>
                    <w:rPr>
                      <w:rFonts w:hint="eastAsia" w:cs="Times New Roman"/>
                      <w:b w:val="0"/>
                      <w:bCs w:val="0"/>
                      <w:color w:val="auto"/>
                      <w:sz w:val="21"/>
                      <w:szCs w:val="21"/>
                      <w:highlight w:val="none"/>
                      <w:lang w:eastAsia="zh-CN"/>
                    </w:rPr>
                    <w:t>~&lt;</w:t>
                  </w:r>
                  <w:r>
                    <w:rPr>
                      <w:rFonts w:hint="default" w:ascii="Times New Roman" w:hAnsi="Times New Roman" w:eastAsia="宋体" w:cs="Times New Roman"/>
                      <w:b w:val="0"/>
                      <w:bCs w:val="0"/>
                      <w:color w:val="auto"/>
                      <w:sz w:val="21"/>
                      <w:szCs w:val="21"/>
                      <w:highlight w:val="none"/>
                    </w:rPr>
                    <w:t>4</w:t>
                  </w:r>
                </w:p>
              </w:tc>
              <w:tc>
                <w:tcPr>
                  <w:tcW w:w="1104" w:type="dxa"/>
                  <w:noWrap w:val="0"/>
                  <w:vAlign w:val="center"/>
                </w:tcPr>
                <w:p>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4</w:t>
                  </w:r>
                  <w:r>
                    <w:rPr>
                      <w:rFonts w:hint="eastAsia" w:cs="Times New Roman"/>
                      <w:b w:val="0"/>
                      <w:bCs w:val="0"/>
                      <w:color w:val="auto"/>
                      <w:sz w:val="21"/>
                      <w:szCs w:val="21"/>
                      <w:highlight w:val="none"/>
                      <w:lang w:eastAsia="zh-CN"/>
                    </w:rPr>
                    <w:t>~&lt;</w:t>
                  </w:r>
                  <w:r>
                    <w:rPr>
                      <w:rFonts w:hint="default" w:ascii="Times New Roman" w:hAnsi="Times New Roman" w:eastAsia="宋体" w:cs="Times New Roman"/>
                      <w:b w:val="0"/>
                      <w:bCs w:val="0"/>
                      <w:color w:val="auto"/>
                      <w:sz w:val="21"/>
                      <w:szCs w:val="21"/>
                      <w:highlight w:val="none"/>
                    </w:rPr>
                    <w:t>10</w:t>
                  </w:r>
                </w:p>
              </w:tc>
              <w:tc>
                <w:tcPr>
                  <w:tcW w:w="1104" w:type="dxa"/>
                  <w:noWrap w:val="0"/>
                  <w:vAlign w:val="center"/>
                </w:tcPr>
                <w:p>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10</w:t>
                  </w:r>
                  <w:r>
                    <w:rPr>
                      <w:rFonts w:hint="eastAsia" w:cs="Times New Roman"/>
                      <w:b/>
                      <w:bCs/>
                      <w:color w:val="auto"/>
                      <w:sz w:val="21"/>
                      <w:szCs w:val="21"/>
                      <w:highlight w:val="none"/>
                      <w:lang w:eastAsia="zh-CN"/>
                    </w:rPr>
                    <w:t>~&lt;</w:t>
                  </w:r>
                  <w:r>
                    <w:rPr>
                      <w:rFonts w:hint="default" w:ascii="Times New Roman" w:hAnsi="Times New Roman" w:eastAsia="宋体" w:cs="Times New Roman"/>
                      <w:b/>
                      <w:bCs/>
                      <w:color w:val="auto"/>
                      <w:sz w:val="21"/>
                      <w:szCs w:val="21"/>
                      <w:highlight w:val="none"/>
                    </w:rPr>
                    <w:t>20</w:t>
                  </w:r>
                </w:p>
              </w:tc>
              <w:tc>
                <w:tcPr>
                  <w:tcW w:w="1104" w:type="dxa"/>
                  <w:noWrap w:val="0"/>
                  <w:vAlign w:val="center"/>
                </w:tcPr>
                <w:p>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≥20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32" w:type="dxa"/>
                  <w:noWrap w:val="0"/>
                  <w:vAlign w:val="center"/>
                </w:tcPr>
                <w:p>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烟囱最低允许高度</w:t>
                  </w:r>
                </w:p>
              </w:tc>
              <w:tc>
                <w:tcPr>
                  <w:tcW w:w="750" w:type="dxa"/>
                  <w:noWrap w:val="0"/>
                  <w:vAlign w:val="center"/>
                </w:tcPr>
                <w:p>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m</w:t>
                  </w:r>
                </w:p>
              </w:tc>
              <w:tc>
                <w:tcPr>
                  <w:tcW w:w="938" w:type="dxa"/>
                  <w:noWrap w:val="0"/>
                  <w:vAlign w:val="center"/>
                </w:tcPr>
                <w:p>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20</w:t>
                  </w:r>
                </w:p>
              </w:tc>
              <w:tc>
                <w:tcPr>
                  <w:tcW w:w="1179" w:type="dxa"/>
                  <w:noWrap w:val="0"/>
                  <w:vAlign w:val="center"/>
                </w:tcPr>
                <w:p>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25</w:t>
                  </w:r>
                </w:p>
              </w:tc>
              <w:tc>
                <w:tcPr>
                  <w:tcW w:w="1113" w:type="dxa"/>
                  <w:noWrap w:val="0"/>
                  <w:vAlign w:val="center"/>
                </w:tcPr>
                <w:p>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30</w:t>
                  </w:r>
                </w:p>
              </w:tc>
              <w:tc>
                <w:tcPr>
                  <w:tcW w:w="1104" w:type="dxa"/>
                  <w:noWrap w:val="0"/>
                  <w:vAlign w:val="center"/>
                </w:tcPr>
                <w:p>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35</w:t>
                  </w:r>
                </w:p>
              </w:tc>
              <w:tc>
                <w:tcPr>
                  <w:tcW w:w="1104" w:type="dxa"/>
                  <w:noWrap w:val="0"/>
                  <w:vAlign w:val="center"/>
                </w:tcPr>
                <w:p>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40</w:t>
                  </w:r>
                </w:p>
              </w:tc>
              <w:tc>
                <w:tcPr>
                  <w:tcW w:w="1104" w:type="dxa"/>
                  <w:noWrap w:val="0"/>
                  <w:vAlign w:val="center"/>
                </w:tcPr>
                <w:p>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45</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b w:val="0"/>
                <w:bCs w:val="0"/>
                <w:color w:val="auto"/>
                <w:highlight w:val="none"/>
                <w:lang w:val="en-US" w:eastAsia="zh-CN"/>
              </w:rPr>
              <w:t>（2）</w:t>
            </w:r>
            <w:r>
              <w:rPr>
                <w:rFonts w:hint="default" w:ascii="Times New Roman" w:hAnsi="Times New Roman" w:eastAsia="宋体" w:cs="Times New Roman"/>
                <w:b w:val="0"/>
                <w:bCs w:val="0"/>
                <w:color w:val="auto"/>
                <w:sz w:val="24"/>
                <w:highlight w:val="none"/>
              </w:rPr>
              <w:t>运</w:t>
            </w:r>
            <w:r>
              <w:rPr>
                <w:rFonts w:hint="default" w:ascii="Times New Roman" w:hAnsi="Times New Roman" w:eastAsia="宋体" w:cs="Times New Roman"/>
                <w:color w:val="auto"/>
                <w:sz w:val="24"/>
                <w:highlight w:val="none"/>
              </w:rPr>
              <w:t>营期灰渣卸载</w:t>
            </w:r>
            <w:r>
              <w:rPr>
                <w:rFonts w:hint="default" w:ascii="Times New Roman" w:hAnsi="Times New Roman" w:eastAsia="宋体" w:cs="Times New Roman"/>
                <w:color w:val="auto"/>
                <w:sz w:val="24"/>
                <w:highlight w:val="none"/>
                <w:lang w:eastAsia="zh-CN"/>
              </w:rPr>
              <w:t>、储存</w:t>
            </w:r>
            <w:r>
              <w:rPr>
                <w:rFonts w:hint="default" w:ascii="Times New Roman" w:hAnsi="Times New Roman" w:eastAsia="宋体" w:cs="Times New Roman"/>
                <w:color w:val="auto"/>
                <w:sz w:val="24"/>
                <w:highlight w:val="none"/>
              </w:rPr>
              <w:t>过程中产生的颗粒物排放执行《大气污染物综合排放标准》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GB16297-1996）表2新污染源大气污染物排放限值中“无组织排放监控浓度限值”，具体标准详见表</w:t>
            </w:r>
            <w:r>
              <w:rPr>
                <w:rFonts w:hint="default" w:ascii="Times New Roman" w:hAnsi="Times New Roman" w:eastAsia="宋体" w:cs="Times New Roman"/>
                <w:color w:val="auto"/>
                <w:sz w:val="24"/>
                <w:highlight w:val="none"/>
                <w:lang w:val="en-US" w:eastAsia="zh-CN"/>
              </w:rPr>
              <w:t>3-6</w:t>
            </w:r>
            <w:r>
              <w:rPr>
                <w:rFonts w:hint="default" w:ascii="Times New Roman" w:hAnsi="Times New Roman" w:eastAsia="宋体" w:cs="Times New Roman"/>
                <w:color w:val="auto"/>
                <w:sz w:val="24"/>
                <w:highlight w:val="none"/>
              </w:rPr>
              <w:t>。</w:t>
            </w:r>
          </w:p>
          <w:p>
            <w:pPr>
              <w:kinsoku/>
              <w:wordWrap/>
              <w:bidi w:val="0"/>
              <w:spacing w:line="360" w:lineRule="auto"/>
              <w:ind w:left="0" w:leftChars="0" w:right="0" w:rightChars="0" w:firstLine="0" w:firstLineChars="0"/>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表3-6  《大气污染物综合排放标准》（GB16297-1996）</w:t>
            </w:r>
          </w:p>
          <w:tbl>
            <w:tblPr>
              <w:tblStyle w:val="19"/>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04"/>
              <w:gridCol w:w="3656"/>
              <w:gridCol w:w="24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61" w:type="dxa"/>
                  <w:vMerge w:val="restart"/>
                  <w:tcBorders>
                    <w:tl2br w:val="nil"/>
                    <w:tr2bl w:val="nil"/>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w:t>
                  </w:r>
                </w:p>
              </w:tc>
              <w:tc>
                <w:tcPr>
                  <w:tcW w:w="5678" w:type="dxa"/>
                  <w:gridSpan w:val="2"/>
                  <w:tcBorders>
                    <w:tl2br w:val="nil"/>
                    <w:tr2bl w:val="nil"/>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61" w:type="dxa"/>
                  <w:vMerge w:val="continue"/>
                  <w:tcBorders>
                    <w:tl2br w:val="nil"/>
                    <w:tr2bl w:val="nil"/>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p>
              </w:tc>
              <w:tc>
                <w:tcPr>
                  <w:tcW w:w="3418" w:type="dxa"/>
                  <w:tcBorders>
                    <w:tl2br w:val="nil"/>
                    <w:tr2bl w:val="nil"/>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监控点</w:t>
                  </w:r>
                </w:p>
              </w:tc>
              <w:tc>
                <w:tcPr>
                  <w:tcW w:w="2260" w:type="dxa"/>
                  <w:tcBorders>
                    <w:tl2br w:val="nil"/>
                    <w:tr2bl w:val="nil"/>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rPr>
                    <w:t>浓度</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mg/m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61" w:type="dxa"/>
                  <w:tcBorders>
                    <w:tl2br w:val="nil"/>
                    <w:tr2bl w:val="nil"/>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3418" w:type="dxa"/>
                  <w:tcBorders>
                    <w:tl2br w:val="nil"/>
                    <w:tr2bl w:val="nil"/>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周围外浓度最高点</w:t>
                  </w:r>
                </w:p>
              </w:tc>
              <w:tc>
                <w:tcPr>
                  <w:tcW w:w="2260" w:type="dxa"/>
                  <w:tcBorders>
                    <w:tl2br w:val="nil"/>
                    <w:tr2bl w:val="nil"/>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2、噪声</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2.1施工期</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施工</w:t>
            </w:r>
            <w:r>
              <w:rPr>
                <w:rFonts w:hint="default" w:ascii="Times New Roman" w:hAnsi="Times New Roman" w:eastAsia="宋体" w:cs="Times New Roman"/>
                <w:color w:val="auto"/>
                <w:sz w:val="24"/>
                <w:szCs w:val="24"/>
                <w:highlight w:val="none"/>
                <w:lang w:eastAsia="zh-CN"/>
              </w:rPr>
              <w:t>期</w:t>
            </w:r>
            <w:r>
              <w:rPr>
                <w:rFonts w:hint="default" w:ascii="Times New Roman" w:hAnsi="Times New Roman" w:eastAsia="宋体" w:cs="Times New Roman"/>
                <w:color w:val="auto"/>
                <w:sz w:val="24"/>
                <w:szCs w:val="24"/>
                <w:highlight w:val="none"/>
              </w:rPr>
              <w:t>噪声执行《建筑施工场界环境噪声排放标准》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GB12523-2011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，具体标准值见表</w:t>
            </w:r>
            <w:r>
              <w:rPr>
                <w:rFonts w:hint="default" w:ascii="Times New Roman" w:hAnsi="Times New Roman" w:eastAsia="宋体" w:cs="Times New Roman"/>
                <w:color w:val="auto"/>
                <w:sz w:val="24"/>
                <w:szCs w:val="24"/>
                <w:highlight w:val="none"/>
                <w:lang w:val="en-US" w:eastAsia="zh-CN"/>
              </w:rPr>
              <w:t>3-7</w:t>
            </w:r>
            <w:r>
              <w:rPr>
                <w:rFonts w:hint="default" w:ascii="Times New Roman" w:hAnsi="Times New Roman" w:eastAsia="宋体"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表3-7  《建筑施工场界环境噪声排放标准》  单位：dB</w:t>
            </w:r>
            <w:r>
              <w:rPr>
                <w:rFonts w:hint="eastAsia" w:cs="Times New Roman"/>
                <w:b/>
                <w:bCs/>
                <w:color w:val="auto"/>
                <w:sz w:val="24"/>
                <w:szCs w:val="24"/>
                <w:highlight w:val="none"/>
                <w:lang w:val="en-US" w:eastAsia="zh-CN"/>
              </w:rPr>
              <w:t>(A)</w:t>
            </w:r>
          </w:p>
          <w:tbl>
            <w:tblPr>
              <w:tblStyle w:val="19"/>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54"/>
              <w:gridCol w:w="41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昼间</w:t>
                  </w:r>
                </w:p>
              </w:tc>
              <w:tc>
                <w:tcPr>
                  <w:tcW w:w="249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70</w:t>
                  </w:r>
                </w:p>
              </w:tc>
              <w:tc>
                <w:tcPr>
                  <w:tcW w:w="249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55</w:t>
                  </w:r>
                </w:p>
              </w:tc>
            </w:tr>
          </w:tbl>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2.2</w:t>
            </w:r>
            <w:r>
              <w:rPr>
                <w:rFonts w:hint="default" w:ascii="Times New Roman" w:hAnsi="Times New Roman" w:eastAsia="宋体" w:cs="Times New Roman"/>
                <w:b/>
                <w:bCs/>
                <w:color w:val="auto"/>
                <w:sz w:val="24"/>
                <w:szCs w:val="24"/>
                <w:highlight w:val="none"/>
              </w:rPr>
              <w:t>营运期</w:t>
            </w:r>
          </w:p>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营运期噪声执行《工业企业厂界环境噪声排放标准》（GB12348-2008）</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类标准，见表</w:t>
            </w:r>
            <w:r>
              <w:rPr>
                <w:rFonts w:hint="default" w:ascii="Times New Roman" w:hAnsi="Times New Roman" w:eastAsia="宋体" w:cs="Times New Roman"/>
                <w:color w:val="auto"/>
                <w:sz w:val="24"/>
                <w:szCs w:val="24"/>
                <w:highlight w:val="none"/>
                <w:lang w:val="en-US" w:eastAsia="zh-CN"/>
              </w:rPr>
              <w:t>3-8</w:t>
            </w:r>
            <w:r>
              <w:rPr>
                <w:rFonts w:hint="default" w:ascii="Times New Roman" w:hAnsi="Times New Roman" w:eastAsia="宋体"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表3-8  《工业企业厂界环境噪声排放标准》  单位：dB</w:t>
            </w:r>
            <w:r>
              <w:rPr>
                <w:rFonts w:hint="eastAsia" w:cs="Times New Roman"/>
                <w:b/>
                <w:bCs/>
                <w:color w:val="auto"/>
                <w:sz w:val="24"/>
                <w:szCs w:val="24"/>
                <w:highlight w:val="none"/>
                <w:lang w:val="en-US" w:eastAsia="zh-CN"/>
              </w:rPr>
              <w:t>(A)</w:t>
            </w:r>
          </w:p>
          <w:tbl>
            <w:tblPr>
              <w:tblStyle w:val="19"/>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58"/>
              <w:gridCol w:w="2759"/>
              <w:gridCol w:w="27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标准类别</w:t>
                  </w:r>
                </w:p>
              </w:tc>
              <w:tc>
                <w:tcPr>
                  <w:tcW w:w="3333"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p>
              </w:tc>
              <w:tc>
                <w:tcPr>
                  <w:tcW w:w="166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昼间</w:t>
                  </w:r>
                </w:p>
              </w:tc>
              <w:tc>
                <w:tcPr>
                  <w:tcW w:w="166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类</w:t>
                  </w:r>
                  <w:r>
                    <w:rPr>
                      <w:rFonts w:hint="default" w:ascii="Times New Roman" w:hAnsi="Times New Roman" w:eastAsia="宋体" w:cs="Times New Roman"/>
                      <w:color w:val="auto"/>
                      <w:sz w:val="21"/>
                      <w:szCs w:val="21"/>
                      <w:highlight w:val="none"/>
                      <w:lang w:val="en-US" w:eastAsia="zh-CN"/>
                    </w:rPr>
                    <w:t>声环境功能区</w:t>
                  </w:r>
                </w:p>
              </w:tc>
              <w:tc>
                <w:tcPr>
                  <w:tcW w:w="166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w:t>
                  </w:r>
                </w:p>
              </w:tc>
              <w:tc>
                <w:tcPr>
                  <w:tcW w:w="166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3、固体废物标准</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highlight w:val="none"/>
              </w:rPr>
              <w:t>一般</w:t>
            </w:r>
            <w:r>
              <w:rPr>
                <w:rFonts w:hint="default" w:ascii="Times New Roman" w:hAnsi="Times New Roman" w:eastAsia="宋体" w:cs="Times New Roman"/>
                <w:color w:val="auto"/>
                <w:highlight w:val="none"/>
                <w:lang w:val="en-US" w:eastAsia="zh-CN"/>
              </w:rPr>
              <w:t>工业</w:t>
            </w:r>
            <w:r>
              <w:rPr>
                <w:rFonts w:hint="default" w:ascii="Times New Roman" w:hAnsi="Times New Roman" w:eastAsia="宋体" w:cs="Times New Roman"/>
                <w:color w:val="auto"/>
                <w:highlight w:val="none"/>
              </w:rPr>
              <w:t>固体废物执行《一般工业固体废物贮存</w:t>
            </w:r>
            <w:r>
              <w:rPr>
                <w:rFonts w:hint="default" w:ascii="Times New Roman" w:hAnsi="Times New Roman" w:eastAsia="宋体" w:cs="Times New Roman"/>
                <w:color w:val="auto"/>
                <w:highlight w:val="none"/>
                <w:lang w:val="en-US" w:eastAsia="zh-CN"/>
              </w:rPr>
              <w:t>和填埋污染控制标准</w:t>
            </w:r>
            <w:r>
              <w:rPr>
                <w:rFonts w:hint="default" w:ascii="Times New Roman" w:hAnsi="Times New Roman" w:eastAsia="宋体" w:cs="Times New Roman"/>
                <w:color w:val="auto"/>
                <w:highlight w:val="none"/>
              </w:rPr>
              <w:t>》（GB18599-2</w:t>
            </w:r>
            <w:r>
              <w:rPr>
                <w:rFonts w:hint="default" w:ascii="Times New Roman" w:hAnsi="Times New Roman" w:eastAsia="宋体" w:cs="Times New Roman"/>
                <w:color w:val="auto"/>
                <w:highlight w:val="none"/>
                <w:lang w:val="en-US" w:eastAsia="zh-CN"/>
              </w:rPr>
              <w:t>020</w:t>
            </w:r>
            <w:r>
              <w:rPr>
                <w:rFonts w:hint="default" w:ascii="Times New Roman" w:hAnsi="Times New Roman" w:eastAsia="宋体" w:cs="Times New Roman"/>
                <w:color w:val="auto"/>
                <w:highlight w:val="none"/>
              </w:rPr>
              <w:t>）中的有关规定</w:t>
            </w:r>
            <w:r>
              <w:rPr>
                <w:rFonts w:hint="default" w:ascii="Times New Roman" w:hAnsi="Times New Roman" w:eastAsia="宋体" w:cs="Times New Roman"/>
                <w:color w:val="auto"/>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68" w:type="dxa"/>
            <w:vAlign w:val="center"/>
          </w:tcPr>
          <w:p>
            <w:pPr>
              <w:kinsoku/>
              <w:wordWrap/>
              <w:bidi w:val="0"/>
              <w:adjustRightInd w:val="0"/>
              <w:snapToGrid w:val="0"/>
              <w:spacing w:line="360" w:lineRule="auto"/>
              <w:ind w:left="0" w:leftChars="0" w:right="0" w:rightChars="0" w:firstLine="0" w:firstLineChars="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总量</w:t>
            </w:r>
          </w:p>
          <w:p>
            <w:pPr>
              <w:kinsoku/>
              <w:wordWrap/>
              <w:bidi w:val="0"/>
              <w:adjustRightInd w:val="0"/>
              <w:snapToGrid w:val="0"/>
              <w:spacing w:line="360" w:lineRule="auto"/>
              <w:ind w:left="0" w:leftChars="0" w:right="0" w:rightChars="0" w:firstLine="0" w:firstLineChars="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控制</w:t>
            </w:r>
          </w:p>
          <w:p>
            <w:pPr>
              <w:kinsoku/>
              <w:wordWrap/>
              <w:bidi w:val="0"/>
              <w:adjustRightInd w:val="0"/>
              <w:snapToGrid w:val="0"/>
              <w:spacing w:line="360" w:lineRule="auto"/>
              <w:ind w:left="0" w:leftChars="0" w:right="0" w:rightChars="0" w:firstLine="0" w:firstLineChars="0"/>
              <w:jc w:val="center"/>
              <w:rPr>
                <w:rFonts w:hint="default" w:ascii="Times New Roman" w:hAnsi="Times New Roman" w:eastAsia="宋体" w:cs="Times New Roman"/>
                <w:b/>
                <w:bCs/>
                <w:color w:val="auto"/>
                <w:kern w:val="0"/>
                <w:sz w:val="24"/>
                <w:szCs w:val="21"/>
                <w:highlight w:val="none"/>
                <w:lang w:val="en-US" w:eastAsia="zh-CN" w:bidi="ar-SA"/>
              </w:rPr>
            </w:pPr>
            <w:r>
              <w:rPr>
                <w:rFonts w:hint="default" w:ascii="Times New Roman" w:hAnsi="Times New Roman" w:eastAsia="宋体" w:cs="Times New Roman"/>
                <w:b/>
                <w:bCs/>
                <w:color w:val="auto"/>
                <w:kern w:val="0"/>
                <w:szCs w:val="21"/>
                <w:highlight w:val="none"/>
              </w:rPr>
              <w:t>指标</w:t>
            </w:r>
          </w:p>
        </w:tc>
        <w:tc>
          <w:tcPr>
            <w:tcW w:w="7854" w:type="dxa"/>
            <w:vAlign w:val="center"/>
          </w:tcPr>
          <w:p>
            <w:pPr>
              <w:keepNext w:val="0"/>
              <w:keepLines w:val="0"/>
              <w:pageBreakBefore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highlight w:val="none"/>
                <w:lang w:eastAsia="zh-CN"/>
              </w:rPr>
            </w:pPr>
          </w:p>
          <w:p>
            <w:pPr>
              <w:keepNext w:val="0"/>
              <w:keepLines w:val="0"/>
              <w:pageBreakBefore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项目改建后总量控制指标如下：</w:t>
            </w:r>
          </w:p>
          <w:p>
            <w:pPr>
              <w:pageBreakBefore w:val="0"/>
              <w:widowControl w:val="0"/>
              <w:kinsoku/>
              <w:wordWrap/>
              <w:overflowPunct/>
              <w:topLinePunct w:val="0"/>
              <w:bidi w:val="0"/>
              <w:spacing w:line="360" w:lineRule="auto"/>
              <w:ind w:left="0" w:firstLine="480" w:firstLineChars="200"/>
              <w:textAlignment w:val="auto"/>
              <w:rPr>
                <w:rFonts w:hint="eastAsia" w:ascii="Times New Roman" w:hAnsi="Times New Roman" w:eastAsia="宋体" w:cs="Times New Roman"/>
                <w:b w:val="0"/>
                <w:bCs/>
                <w:color w:val="auto"/>
                <w:sz w:val="24"/>
                <w:szCs w:val="24"/>
                <w:highlight w:val="none"/>
                <w:lang w:val="en-US" w:eastAsia="zh-CN"/>
              </w:rPr>
            </w:pPr>
            <w:r>
              <w:rPr>
                <w:rFonts w:hint="eastAsia" w:ascii="Times New Roman" w:hAnsi="Times New Roman" w:eastAsia="宋体" w:cs="Times New Roman"/>
                <w:b w:val="0"/>
                <w:bCs/>
                <w:color w:val="auto"/>
                <w:sz w:val="24"/>
                <w:szCs w:val="24"/>
                <w:highlight w:val="none"/>
                <w:lang w:val="en-US" w:eastAsia="zh-CN"/>
              </w:rPr>
              <w:t>本次工程主要为拆除锅炉房内原有3台4t/h的燃煤热水锅炉中的2台，保留1台4t/h的燃煤热水锅炉，改为备用；</w:t>
            </w:r>
          </w:p>
          <w:p>
            <w:pPr>
              <w:pageBreakBefore w:val="0"/>
              <w:widowControl w:val="0"/>
              <w:kinsoku/>
              <w:wordWrap/>
              <w:overflowPunct/>
              <w:topLinePunct w:val="0"/>
              <w:bidi w:val="0"/>
              <w:spacing w:line="360" w:lineRule="auto"/>
              <w:ind w:left="0" w:firstLine="480" w:firstLineChars="200"/>
              <w:textAlignment w:val="auto"/>
              <w:rPr>
                <w:rFonts w:hint="eastAsia" w:ascii="Times New Roman" w:hAnsi="Times New Roman" w:eastAsia="宋体" w:cs="Times New Roman"/>
                <w:b w:val="0"/>
                <w:bCs/>
                <w:color w:val="auto"/>
                <w:sz w:val="24"/>
                <w:szCs w:val="24"/>
                <w:highlight w:val="none"/>
                <w:lang w:val="en-US" w:eastAsia="zh-CN"/>
              </w:rPr>
            </w:pPr>
            <w:r>
              <w:rPr>
                <w:rFonts w:hint="eastAsia" w:ascii="Times New Roman" w:hAnsi="Times New Roman" w:eastAsia="宋体" w:cs="Times New Roman"/>
                <w:b w:val="0"/>
                <w:bCs/>
                <w:color w:val="auto"/>
                <w:sz w:val="24"/>
                <w:szCs w:val="24"/>
                <w:highlight w:val="none"/>
                <w:lang w:val="en-US" w:eastAsia="zh-CN"/>
              </w:rPr>
              <w:t>1台10t/h的</w:t>
            </w:r>
            <w:r>
              <w:rPr>
                <w:rFonts w:hint="default" w:ascii="Times New Roman" w:hAnsi="Times New Roman" w:eastAsia="宋体" w:cs="Times New Roman"/>
                <w:b w:val="0"/>
                <w:bCs/>
                <w:color w:val="auto"/>
                <w:sz w:val="24"/>
                <w:szCs w:val="24"/>
                <w:highlight w:val="none"/>
              </w:rPr>
              <w:t>生物质热水锅炉</w:t>
            </w:r>
            <w:r>
              <w:rPr>
                <w:rFonts w:hint="eastAsia" w:ascii="Times New Roman" w:hAnsi="Times New Roman" w:eastAsia="宋体" w:cs="Times New Roman"/>
                <w:b w:val="0"/>
                <w:bCs/>
                <w:color w:val="auto"/>
                <w:sz w:val="24"/>
                <w:szCs w:val="24"/>
                <w:highlight w:val="none"/>
                <w:lang w:val="en-US" w:eastAsia="zh-CN"/>
              </w:rPr>
              <w:t>有组织废气</w:t>
            </w:r>
            <w:r>
              <w:rPr>
                <w:rFonts w:hint="default" w:ascii="Times New Roman" w:hAnsi="Times New Roman" w:eastAsia="宋体" w:cs="Times New Roman"/>
                <w:b w:val="0"/>
                <w:bCs/>
                <w:color w:val="auto"/>
                <w:sz w:val="24"/>
                <w:szCs w:val="24"/>
                <w:highlight w:val="none"/>
              </w:rPr>
              <w:t>颗粒物排放总量为</w:t>
            </w:r>
            <w:r>
              <w:rPr>
                <w:rFonts w:hint="eastAsia" w:ascii="Times New Roman" w:hAnsi="Times New Roman" w:eastAsia="宋体" w:cs="Times New Roman"/>
                <w:b w:val="0"/>
                <w:bCs/>
                <w:color w:val="auto"/>
                <w:sz w:val="24"/>
                <w:szCs w:val="24"/>
                <w:highlight w:val="none"/>
                <w:lang w:val="en-US" w:eastAsia="zh-CN"/>
              </w:rPr>
              <w:t>0.159</w:t>
            </w:r>
            <w:r>
              <w:rPr>
                <w:rFonts w:hint="default" w:ascii="Times New Roman" w:hAnsi="Times New Roman" w:eastAsia="宋体" w:cs="Times New Roman"/>
                <w:b w:val="0"/>
                <w:bCs/>
                <w:color w:val="auto"/>
                <w:sz w:val="24"/>
                <w:szCs w:val="24"/>
                <w:highlight w:val="none"/>
              </w:rPr>
              <w:t>ta</w:t>
            </w:r>
            <w:r>
              <w:rPr>
                <w:rFonts w:hint="eastAsia" w:ascii="Times New Roman" w:hAnsi="Times New Roman" w:eastAsia="宋体" w:cs="Times New Roman"/>
                <w:b w:val="0"/>
                <w:bCs/>
                <w:color w:val="auto"/>
                <w:sz w:val="24"/>
                <w:szCs w:val="24"/>
                <w:highlight w:val="none"/>
                <w:lang w:eastAsia="zh-CN"/>
              </w:rPr>
              <w:t>、</w:t>
            </w:r>
            <w:r>
              <w:rPr>
                <w:rFonts w:hint="default" w:ascii="Times New Roman" w:hAnsi="Times New Roman" w:eastAsia="宋体" w:cs="Times New Roman"/>
                <w:b w:val="0"/>
                <w:bCs/>
                <w:color w:val="auto"/>
                <w:sz w:val="24"/>
                <w:szCs w:val="24"/>
                <w:highlight w:val="none"/>
              </w:rPr>
              <w:t>二氧化硫排放总量为</w:t>
            </w:r>
            <w:r>
              <w:rPr>
                <w:rFonts w:hint="eastAsia" w:ascii="Times New Roman" w:hAnsi="Times New Roman" w:eastAsia="宋体" w:cs="Times New Roman"/>
                <w:b w:val="0"/>
                <w:bCs/>
                <w:color w:val="auto"/>
                <w:sz w:val="24"/>
                <w:szCs w:val="24"/>
                <w:highlight w:val="none"/>
                <w:lang w:val="en-US" w:eastAsia="zh-CN"/>
              </w:rPr>
              <w:t>1.836</w:t>
            </w:r>
            <w:r>
              <w:rPr>
                <w:rFonts w:hint="default" w:ascii="Times New Roman" w:hAnsi="Times New Roman" w:eastAsia="宋体" w:cs="Times New Roman"/>
                <w:b w:val="0"/>
                <w:bCs/>
                <w:color w:val="auto"/>
                <w:sz w:val="24"/>
                <w:szCs w:val="24"/>
                <w:highlight w:val="none"/>
              </w:rPr>
              <w:t>ta</w:t>
            </w:r>
            <w:r>
              <w:rPr>
                <w:rFonts w:hint="eastAsia" w:ascii="Times New Roman" w:hAnsi="Times New Roman" w:eastAsia="宋体" w:cs="Times New Roman"/>
                <w:b w:val="0"/>
                <w:bCs/>
                <w:color w:val="auto"/>
                <w:sz w:val="24"/>
                <w:szCs w:val="24"/>
                <w:highlight w:val="none"/>
                <w:lang w:eastAsia="zh-CN"/>
              </w:rPr>
              <w:t>、</w:t>
            </w:r>
            <w:r>
              <w:rPr>
                <w:rFonts w:hint="default" w:ascii="Times New Roman" w:hAnsi="Times New Roman" w:eastAsia="宋体" w:cs="Times New Roman"/>
                <w:b w:val="0"/>
                <w:bCs/>
                <w:color w:val="auto"/>
                <w:sz w:val="24"/>
                <w:szCs w:val="24"/>
                <w:highlight w:val="none"/>
              </w:rPr>
              <w:t>氮氧化物排放总量为</w:t>
            </w:r>
            <w:r>
              <w:rPr>
                <w:rFonts w:hint="default" w:ascii="Times New Roman" w:hAnsi="Times New Roman" w:eastAsia="宋体" w:cs="Times New Roman"/>
                <w:b w:val="0"/>
                <w:bCs/>
                <w:color w:val="auto"/>
                <w:sz w:val="24"/>
                <w:szCs w:val="24"/>
                <w:highlight w:val="none"/>
                <w:lang w:val="en-US" w:eastAsia="zh-CN"/>
              </w:rPr>
              <w:t>2.203</w:t>
            </w:r>
            <w:r>
              <w:rPr>
                <w:rFonts w:hint="default" w:ascii="Times New Roman" w:hAnsi="Times New Roman" w:eastAsia="宋体" w:cs="Times New Roman"/>
                <w:b w:val="0"/>
                <w:bCs/>
                <w:color w:val="auto"/>
                <w:sz w:val="24"/>
                <w:szCs w:val="24"/>
                <w:highlight w:val="none"/>
              </w:rPr>
              <w:t>ta</w:t>
            </w:r>
            <w:r>
              <w:rPr>
                <w:rFonts w:hint="eastAsia" w:ascii="Times New Roman" w:hAnsi="Times New Roman" w:eastAsia="宋体" w:cs="Times New Roman"/>
                <w:b w:val="0"/>
                <w:bCs/>
                <w:color w:val="auto"/>
                <w:sz w:val="24"/>
                <w:szCs w:val="24"/>
                <w:highlight w:val="none"/>
                <w:lang w:eastAsia="zh-CN"/>
              </w:rPr>
              <w:t>；</w:t>
            </w:r>
          </w:p>
          <w:p>
            <w:pPr>
              <w:pageBreakBefore w:val="0"/>
              <w:widowControl w:val="0"/>
              <w:kinsoku/>
              <w:wordWrap/>
              <w:overflowPunct/>
              <w:topLinePunct w:val="0"/>
              <w:bidi w:val="0"/>
              <w:spacing w:line="360" w:lineRule="auto"/>
              <w:ind w:left="0" w:firstLine="480" w:firstLineChars="200"/>
              <w:textAlignment w:val="auto"/>
              <w:rPr>
                <w:rFonts w:hint="eastAsia" w:ascii="Times New Roman" w:hAnsi="Times New Roman" w:eastAsia="宋体" w:cs="Times New Roman"/>
                <w:b w:val="0"/>
                <w:bCs/>
                <w:color w:val="auto"/>
                <w:sz w:val="24"/>
                <w:szCs w:val="24"/>
                <w:highlight w:val="none"/>
                <w:lang w:val="en-US" w:eastAsia="zh-CN"/>
              </w:rPr>
            </w:pPr>
            <w:r>
              <w:rPr>
                <w:rFonts w:hint="eastAsia" w:ascii="Times New Roman" w:hAnsi="Times New Roman" w:eastAsia="宋体" w:cs="Times New Roman"/>
                <w:b w:val="0"/>
                <w:bCs/>
                <w:color w:val="auto"/>
                <w:sz w:val="24"/>
                <w:szCs w:val="24"/>
                <w:highlight w:val="none"/>
                <w:lang w:val="en-US" w:eastAsia="zh-CN"/>
              </w:rPr>
              <w:t>1台4t/h的燃煤热水锅炉有组织废气</w:t>
            </w:r>
            <w:r>
              <w:rPr>
                <w:rFonts w:hint="default" w:ascii="Times New Roman" w:hAnsi="Times New Roman" w:eastAsia="宋体" w:cs="Times New Roman"/>
                <w:b w:val="0"/>
                <w:bCs/>
                <w:color w:val="auto"/>
                <w:sz w:val="24"/>
                <w:szCs w:val="24"/>
                <w:highlight w:val="none"/>
              </w:rPr>
              <w:t>颗粒物排放总量为</w:t>
            </w:r>
            <w:r>
              <w:rPr>
                <w:rFonts w:hint="eastAsia" w:ascii="Times New Roman" w:hAnsi="Times New Roman" w:eastAsia="宋体" w:cs="Times New Roman"/>
                <w:b w:val="0"/>
                <w:bCs/>
                <w:color w:val="auto"/>
                <w:sz w:val="24"/>
                <w:szCs w:val="24"/>
                <w:highlight w:val="none"/>
                <w:lang w:val="en-US" w:eastAsia="zh-CN"/>
              </w:rPr>
              <w:t>0.29</w:t>
            </w:r>
            <w:r>
              <w:rPr>
                <w:rFonts w:hint="default" w:ascii="Times New Roman" w:hAnsi="Times New Roman" w:eastAsia="宋体" w:cs="Times New Roman"/>
                <w:b w:val="0"/>
                <w:bCs/>
                <w:color w:val="auto"/>
                <w:sz w:val="24"/>
                <w:szCs w:val="24"/>
                <w:highlight w:val="none"/>
              </w:rPr>
              <w:t>ta</w:t>
            </w:r>
            <w:r>
              <w:rPr>
                <w:rFonts w:hint="eastAsia" w:ascii="Times New Roman" w:hAnsi="Times New Roman" w:eastAsia="宋体" w:cs="Times New Roman"/>
                <w:b w:val="0"/>
                <w:bCs/>
                <w:color w:val="auto"/>
                <w:sz w:val="24"/>
                <w:szCs w:val="24"/>
                <w:highlight w:val="none"/>
                <w:lang w:eastAsia="zh-CN"/>
              </w:rPr>
              <w:t>、</w:t>
            </w:r>
            <w:r>
              <w:rPr>
                <w:rFonts w:hint="default" w:ascii="Times New Roman" w:hAnsi="Times New Roman" w:eastAsia="宋体" w:cs="Times New Roman"/>
                <w:b w:val="0"/>
                <w:bCs/>
                <w:color w:val="auto"/>
                <w:sz w:val="24"/>
                <w:szCs w:val="24"/>
                <w:highlight w:val="none"/>
              </w:rPr>
              <w:t>二氧化硫排放总量为</w:t>
            </w:r>
            <w:r>
              <w:rPr>
                <w:rFonts w:hint="eastAsia" w:ascii="Times New Roman" w:hAnsi="Times New Roman" w:eastAsia="宋体" w:cs="Times New Roman"/>
                <w:b w:val="0"/>
                <w:bCs/>
                <w:color w:val="auto"/>
                <w:sz w:val="24"/>
                <w:szCs w:val="24"/>
                <w:highlight w:val="none"/>
                <w:lang w:val="en-US" w:eastAsia="zh-CN"/>
              </w:rPr>
              <w:t>0.95</w:t>
            </w:r>
            <w:r>
              <w:rPr>
                <w:rFonts w:hint="default" w:ascii="Times New Roman" w:hAnsi="Times New Roman" w:eastAsia="宋体" w:cs="Times New Roman"/>
                <w:b w:val="0"/>
                <w:bCs/>
                <w:color w:val="auto"/>
                <w:sz w:val="24"/>
                <w:szCs w:val="24"/>
                <w:highlight w:val="none"/>
              </w:rPr>
              <w:t>ta</w:t>
            </w:r>
            <w:r>
              <w:rPr>
                <w:rFonts w:hint="eastAsia" w:ascii="Times New Roman" w:hAnsi="Times New Roman" w:eastAsia="宋体" w:cs="Times New Roman"/>
                <w:b w:val="0"/>
                <w:bCs/>
                <w:color w:val="auto"/>
                <w:sz w:val="24"/>
                <w:szCs w:val="24"/>
                <w:highlight w:val="none"/>
                <w:lang w:eastAsia="zh-CN"/>
              </w:rPr>
              <w:t>、</w:t>
            </w:r>
            <w:r>
              <w:rPr>
                <w:rFonts w:hint="default" w:ascii="Times New Roman" w:hAnsi="Times New Roman" w:eastAsia="宋体" w:cs="Times New Roman"/>
                <w:b w:val="0"/>
                <w:bCs/>
                <w:color w:val="auto"/>
                <w:sz w:val="24"/>
                <w:szCs w:val="24"/>
                <w:highlight w:val="none"/>
              </w:rPr>
              <w:t>氮氧化物排放总量为</w:t>
            </w:r>
            <w:r>
              <w:rPr>
                <w:rFonts w:hint="eastAsia" w:ascii="Times New Roman" w:hAnsi="Times New Roman" w:eastAsia="宋体" w:cs="Times New Roman"/>
                <w:b w:val="0"/>
                <w:bCs/>
                <w:color w:val="auto"/>
                <w:sz w:val="24"/>
                <w:szCs w:val="24"/>
                <w:highlight w:val="none"/>
                <w:lang w:val="en-US" w:eastAsia="zh-CN"/>
              </w:rPr>
              <w:t>1.426</w:t>
            </w:r>
            <w:r>
              <w:rPr>
                <w:rFonts w:hint="default" w:ascii="Times New Roman" w:hAnsi="Times New Roman" w:eastAsia="宋体" w:cs="Times New Roman"/>
                <w:b w:val="0"/>
                <w:bCs/>
                <w:color w:val="auto"/>
                <w:sz w:val="24"/>
                <w:szCs w:val="24"/>
                <w:highlight w:val="none"/>
              </w:rPr>
              <w:t>ta</w:t>
            </w:r>
            <w:r>
              <w:rPr>
                <w:rFonts w:hint="eastAsia" w:ascii="Times New Roman" w:hAnsi="Times New Roman" w:eastAsia="宋体" w:cs="Times New Roman"/>
                <w:b w:val="0"/>
                <w:bCs/>
                <w:color w:val="auto"/>
                <w:sz w:val="24"/>
                <w:szCs w:val="24"/>
                <w:highlight w:val="none"/>
                <w:lang w:eastAsia="zh-CN"/>
              </w:rPr>
              <w:t>。</w:t>
            </w:r>
          </w:p>
          <w:p>
            <w:pPr>
              <w:pageBreakBefore w:val="0"/>
              <w:widowControl w:val="0"/>
              <w:kinsoku/>
              <w:wordWrap/>
              <w:overflowPunct/>
              <w:topLinePunct w:val="0"/>
              <w:bidi w:val="0"/>
              <w:spacing w:line="360" w:lineRule="auto"/>
              <w:ind w:left="0" w:firstLine="480" w:firstLineChars="200"/>
              <w:textAlignment w:val="auto"/>
              <w:rPr>
                <w:rFonts w:hint="default" w:ascii="Times New Roman" w:hAnsi="Times New Roman" w:eastAsia="宋体" w:cs="Times New Roman"/>
                <w:b w:val="0"/>
                <w:bCs/>
                <w:color w:val="auto"/>
                <w:sz w:val="24"/>
                <w:szCs w:val="24"/>
                <w:highlight w:val="none"/>
              </w:rPr>
            </w:pPr>
            <w:r>
              <w:rPr>
                <w:rFonts w:hint="default" w:ascii="Times New Roman" w:hAnsi="Times New Roman" w:eastAsia="宋体" w:cs="Times New Roman"/>
                <w:b w:val="0"/>
                <w:bCs/>
                <w:color w:val="auto"/>
                <w:sz w:val="24"/>
                <w:szCs w:val="24"/>
                <w:highlight w:val="none"/>
              </w:rPr>
              <w:t>经计算，</w:t>
            </w:r>
            <w:r>
              <w:rPr>
                <w:rFonts w:hint="eastAsia" w:ascii="Times New Roman" w:hAnsi="Times New Roman" w:eastAsia="宋体" w:cs="Times New Roman"/>
                <w:b w:val="0"/>
                <w:bCs/>
                <w:color w:val="auto"/>
                <w:sz w:val="24"/>
                <w:szCs w:val="24"/>
                <w:highlight w:val="none"/>
                <w:lang w:val="en-US" w:eastAsia="zh-CN"/>
              </w:rPr>
              <w:t>改建</w:t>
            </w:r>
            <w:r>
              <w:rPr>
                <w:rFonts w:hint="default" w:ascii="Times New Roman" w:hAnsi="Times New Roman" w:eastAsia="宋体" w:cs="Times New Roman"/>
                <w:b w:val="0"/>
                <w:bCs/>
                <w:color w:val="auto"/>
                <w:sz w:val="24"/>
                <w:szCs w:val="24"/>
                <w:highlight w:val="none"/>
              </w:rPr>
              <w:t>项目</w:t>
            </w:r>
            <w:r>
              <w:rPr>
                <w:rFonts w:hint="eastAsia" w:ascii="Times New Roman" w:hAnsi="Times New Roman" w:eastAsia="宋体" w:cs="Times New Roman"/>
                <w:b w:val="0"/>
                <w:bCs/>
                <w:color w:val="auto"/>
                <w:sz w:val="24"/>
                <w:szCs w:val="24"/>
                <w:highlight w:val="none"/>
                <w:lang w:val="en-US" w:eastAsia="zh-CN"/>
              </w:rPr>
              <w:t>建成后，厂区</w:t>
            </w:r>
            <w:r>
              <w:rPr>
                <w:rFonts w:hint="default" w:ascii="Times New Roman" w:hAnsi="Times New Roman" w:eastAsia="宋体" w:cs="Times New Roman"/>
                <w:b w:val="0"/>
                <w:bCs/>
                <w:color w:val="auto"/>
                <w:sz w:val="24"/>
                <w:szCs w:val="24"/>
                <w:highlight w:val="none"/>
              </w:rPr>
              <w:t>颗粒物排放总量为0.451ta</w:t>
            </w:r>
            <w:r>
              <w:rPr>
                <w:rFonts w:hint="eastAsia" w:ascii="Times New Roman" w:hAnsi="Times New Roman" w:eastAsia="宋体" w:cs="Times New Roman"/>
                <w:b w:val="0"/>
                <w:bCs/>
                <w:color w:val="auto"/>
                <w:sz w:val="24"/>
                <w:szCs w:val="24"/>
                <w:highlight w:val="none"/>
                <w:lang w:eastAsia="zh-CN"/>
              </w:rPr>
              <w:t>、</w:t>
            </w:r>
            <w:r>
              <w:rPr>
                <w:rFonts w:hint="default" w:ascii="Times New Roman" w:hAnsi="Times New Roman" w:eastAsia="宋体" w:cs="Times New Roman"/>
                <w:b w:val="0"/>
                <w:bCs/>
                <w:color w:val="auto"/>
                <w:sz w:val="24"/>
                <w:szCs w:val="24"/>
                <w:highlight w:val="none"/>
              </w:rPr>
              <w:t>二氧化硫排放总量为2.786ta</w:t>
            </w:r>
            <w:r>
              <w:rPr>
                <w:rFonts w:hint="eastAsia" w:ascii="Times New Roman" w:hAnsi="Times New Roman" w:eastAsia="宋体" w:cs="Times New Roman"/>
                <w:b w:val="0"/>
                <w:bCs/>
                <w:color w:val="auto"/>
                <w:sz w:val="24"/>
                <w:szCs w:val="24"/>
                <w:highlight w:val="none"/>
                <w:lang w:eastAsia="zh-CN"/>
              </w:rPr>
              <w:t>、</w:t>
            </w:r>
            <w:r>
              <w:rPr>
                <w:rFonts w:hint="default" w:ascii="Times New Roman" w:hAnsi="Times New Roman" w:eastAsia="宋体" w:cs="Times New Roman"/>
                <w:b w:val="0"/>
                <w:bCs/>
                <w:color w:val="auto"/>
                <w:sz w:val="24"/>
                <w:szCs w:val="24"/>
                <w:highlight w:val="none"/>
              </w:rPr>
              <w:t>氮氧化物排放总量为3.629ta</w:t>
            </w:r>
            <w:r>
              <w:rPr>
                <w:rFonts w:hint="eastAsia" w:ascii="Times New Roman" w:hAnsi="Times New Roman" w:eastAsia="宋体" w:cs="Times New Roman"/>
                <w:b w:val="0"/>
                <w:bCs/>
                <w:color w:val="auto"/>
                <w:sz w:val="24"/>
                <w:szCs w:val="24"/>
                <w:highlight w:val="none"/>
                <w:lang w:eastAsia="zh-CN"/>
              </w:rPr>
              <w:t>。</w:t>
            </w:r>
          </w:p>
          <w:p>
            <w:pPr>
              <w:keepNext w:val="0"/>
              <w:keepLines w:val="0"/>
              <w:pageBreakBefore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b w:val="0"/>
                <w:bCs/>
                <w:color w:val="auto"/>
                <w:sz w:val="24"/>
                <w:szCs w:val="24"/>
                <w:highlight w:val="none"/>
              </w:rPr>
              <w:t>总量控制指标为：颗粒物：0.451ta</w:t>
            </w:r>
            <w:r>
              <w:rPr>
                <w:rFonts w:hint="eastAsia" w:ascii="Times New Roman" w:hAnsi="Times New Roman" w:eastAsia="宋体" w:cs="Times New Roman"/>
                <w:b w:val="0"/>
                <w:bCs/>
                <w:color w:val="auto"/>
                <w:sz w:val="24"/>
                <w:szCs w:val="24"/>
                <w:highlight w:val="none"/>
                <w:lang w:eastAsia="zh-CN"/>
              </w:rPr>
              <w:t>、</w:t>
            </w:r>
            <w:r>
              <w:rPr>
                <w:rFonts w:hint="default" w:ascii="Times New Roman" w:hAnsi="Times New Roman" w:eastAsia="宋体" w:cs="Times New Roman"/>
                <w:b w:val="0"/>
                <w:bCs/>
                <w:color w:val="auto"/>
                <w:sz w:val="24"/>
                <w:szCs w:val="24"/>
                <w:highlight w:val="none"/>
              </w:rPr>
              <w:t>二氧化硫</w:t>
            </w:r>
            <w:r>
              <w:rPr>
                <w:rFonts w:hint="eastAsia" w:ascii="Times New Roman" w:hAnsi="Times New Roman" w:eastAsia="宋体" w:cs="Times New Roman"/>
                <w:b w:val="0"/>
                <w:bCs/>
                <w:color w:val="auto"/>
                <w:sz w:val="24"/>
                <w:szCs w:val="24"/>
                <w:highlight w:val="none"/>
                <w:lang w:eastAsia="zh-CN"/>
              </w:rPr>
              <w:t>：</w:t>
            </w:r>
            <w:r>
              <w:rPr>
                <w:rFonts w:hint="default" w:ascii="Times New Roman" w:hAnsi="Times New Roman" w:eastAsia="宋体" w:cs="Times New Roman"/>
                <w:b w:val="0"/>
                <w:bCs/>
                <w:color w:val="auto"/>
                <w:sz w:val="24"/>
                <w:szCs w:val="24"/>
                <w:highlight w:val="none"/>
              </w:rPr>
              <w:t>2.786ta</w:t>
            </w:r>
            <w:r>
              <w:rPr>
                <w:rFonts w:hint="eastAsia" w:ascii="Times New Roman" w:hAnsi="Times New Roman" w:eastAsia="宋体" w:cs="Times New Roman"/>
                <w:b w:val="0"/>
                <w:bCs/>
                <w:color w:val="auto"/>
                <w:sz w:val="24"/>
                <w:szCs w:val="24"/>
                <w:highlight w:val="none"/>
                <w:lang w:eastAsia="zh-CN"/>
              </w:rPr>
              <w:t>、</w:t>
            </w:r>
            <w:r>
              <w:rPr>
                <w:rFonts w:hint="default" w:ascii="Times New Roman" w:hAnsi="Times New Roman" w:eastAsia="宋体" w:cs="Times New Roman"/>
                <w:b w:val="0"/>
                <w:bCs/>
                <w:color w:val="auto"/>
                <w:sz w:val="24"/>
                <w:szCs w:val="24"/>
                <w:highlight w:val="none"/>
              </w:rPr>
              <w:t>氮氧化物</w:t>
            </w:r>
            <w:r>
              <w:rPr>
                <w:rFonts w:hint="eastAsia" w:ascii="Times New Roman" w:hAnsi="Times New Roman" w:eastAsia="宋体" w:cs="Times New Roman"/>
                <w:b w:val="0"/>
                <w:bCs/>
                <w:color w:val="auto"/>
                <w:sz w:val="24"/>
                <w:szCs w:val="24"/>
                <w:highlight w:val="none"/>
                <w:lang w:eastAsia="zh-CN"/>
              </w:rPr>
              <w:t>：</w:t>
            </w:r>
            <w:r>
              <w:rPr>
                <w:rFonts w:hint="default" w:ascii="Times New Roman" w:hAnsi="Times New Roman" w:eastAsia="宋体" w:cs="Times New Roman"/>
                <w:b w:val="0"/>
                <w:bCs/>
                <w:color w:val="auto"/>
                <w:sz w:val="24"/>
                <w:szCs w:val="24"/>
                <w:highlight w:val="none"/>
              </w:rPr>
              <w:t>3.629ta</w:t>
            </w:r>
            <w:r>
              <w:rPr>
                <w:rFonts w:hint="default" w:ascii="Times New Roman" w:hAnsi="Times New Roman" w:eastAsia="宋体" w:cs="Times New Roman"/>
                <w:color w:val="auto"/>
                <w:sz w:val="24"/>
                <w:szCs w:val="24"/>
                <w:highlight w:val="none"/>
                <w:lang w:eastAsia="zh-CN"/>
              </w:rPr>
              <w:t>。</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480" w:firstLineChars="200"/>
              <w:textAlignment w:val="auto"/>
              <w:rPr>
                <w:rFonts w:hint="default" w:ascii="Times New Roman" w:hAnsi="Times New Roman" w:eastAsia="宋体" w:cs="Times New Roman"/>
                <w:color w:val="auto"/>
                <w:highlight w:val="none"/>
                <w:lang w:val="en-US" w:eastAsia="zh-CN"/>
              </w:rPr>
            </w:pPr>
          </w:p>
        </w:tc>
      </w:tr>
    </w:tbl>
    <w:p>
      <w:pPr>
        <w:kinsoku/>
        <w:wordWrap/>
        <w:bidi w:val="0"/>
        <w:adjustRightInd w:val="0"/>
        <w:snapToGrid w:val="0"/>
        <w:spacing w:line="360" w:lineRule="auto"/>
        <w:ind w:left="0" w:leftChars="0" w:right="0" w:rightChars="0" w:firstLine="0" w:firstLineChars="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br w:type="page"/>
      </w:r>
    </w:p>
    <w:p>
      <w:pPr>
        <w:pStyle w:val="6"/>
        <w:kinsoku/>
        <w:wordWrap/>
        <w:bidi w:val="0"/>
        <w:spacing w:line="360" w:lineRule="auto"/>
        <w:ind w:left="0" w:leftChars="0" w:right="0" w:righ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四、主要环境影响和保护措施</w:t>
      </w:r>
    </w:p>
    <w:tbl>
      <w:tblPr>
        <w:tblStyle w:val="19"/>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60"/>
        <w:gridCol w:w="831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67" w:hRule="atLeast"/>
          <w:jc w:val="center"/>
        </w:trPr>
        <w:tc>
          <w:tcPr>
            <w:tcW w:w="746" w:type="dxa"/>
            <w:tcMar>
              <w:left w:w="28" w:type="dxa"/>
              <w:right w:w="28" w:type="dxa"/>
            </w:tcMar>
            <w:vAlign w:val="center"/>
          </w:tcPr>
          <w:p>
            <w:pPr>
              <w:kinsoku/>
              <w:wordWrap/>
              <w:bidi w:val="0"/>
              <w:adjustRightInd w:val="0"/>
              <w:snapToGrid w:val="0"/>
              <w:spacing w:line="360" w:lineRule="auto"/>
              <w:ind w:left="0" w:leftChars="0" w:right="0" w:rightChars="0" w:firstLine="0" w:firstLine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lang w:eastAsia="zh-CN"/>
              </w:rPr>
              <w:t>施工</w:t>
            </w:r>
            <w:r>
              <w:rPr>
                <w:rFonts w:hint="default" w:ascii="Times New Roman" w:hAnsi="Times New Roman" w:eastAsia="宋体" w:cs="Times New Roman"/>
                <w:b/>
                <w:bCs/>
                <w:color w:val="auto"/>
                <w:highlight w:val="none"/>
              </w:rPr>
              <w:t>期环</w:t>
            </w:r>
          </w:p>
          <w:p>
            <w:pPr>
              <w:kinsoku/>
              <w:wordWrap/>
              <w:bidi w:val="0"/>
              <w:adjustRightInd w:val="0"/>
              <w:snapToGrid w:val="0"/>
              <w:spacing w:line="360" w:lineRule="auto"/>
              <w:ind w:left="0" w:leftChars="0" w:right="0" w:rightChars="0" w:firstLine="0" w:firstLine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境影</w:t>
            </w:r>
          </w:p>
          <w:p>
            <w:pPr>
              <w:kinsoku/>
              <w:wordWrap/>
              <w:bidi w:val="0"/>
              <w:adjustRightInd w:val="0"/>
              <w:snapToGrid w:val="0"/>
              <w:spacing w:line="360" w:lineRule="auto"/>
              <w:ind w:left="0" w:leftChars="0" w:right="0" w:rightChars="0" w:firstLine="0" w:firstLine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响和</w:t>
            </w:r>
          </w:p>
          <w:p>
            <w:pPr>
              <w:kinsoku/>
              <w:wordWrap/>
              <w:bidi w:val="0"/>
              <w:adjustRightInd w:val="0"/>
              <w:snapToGrid w:val="0"/>
              <w:spacing w:line="360" w:lineRule="auto"/>
              <w:ind w:left="0" w:leftChars="0" w:right="0" w:rightChars="0" w:firstLine="0" w:firstLine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保护</w:t>
            </w:r>
          </w:p>
          <w:p>
            <w:pPr>
              <w:kinsoku/>
              <w:wordWrap/>
              <w:bidi w:val="0"/>
              <w:spacing w:line="360" w:lineRule="auto"/>
              <w:ind w:left="0" w:leftChars="0" w:right="0" w:righ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highlight w:val="none"/>
              </w:rPr>
              <w:t>措施</w:t>
            </w:r>
          </w:p>
        </w:tc>
        <w:tc>
          <w:tcPr>
            <w:tcW w:w="8162" w:type="dxa"/>
            <w:tcBorders>
              <w:bottom w:val="single" w:color="000000" w:sz="2" w:space="0"/>
            </w:tcBorders>
            <w:vAlign w:val="top"/>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改建项目施工期主要为生物质热水锅炉的安装和调试。</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1、废气环保措施</w:t>
            </w:r>
          </w:p>
          <w:p>
            <w:pPr>
              <w:pStyle w:val="4"/>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bCs/>
                <w:color w:val="auto"/>
                <w:highlight w:val="none"/>
                <w:lang w:eastAsia="zh-CN"/>
              </w:rPr>
            </w:pPr>
            <w:r>
              <w:rPr>
                <w:rFonts w:hint="default" w:ascii="Times New Roman" w:hAnsi="Times New Roman" w:eastAsia="宋体" w:cs="Times New Roman"/>
                <w:bCs/>
                <w:color w:val="auto"/>
                <w:highlight w:val="none"/>
                <w:lang w:eastAsia="zh-CN"/>
              </w:rPr>
              <w:t>（1）锅炉</w:t>
            </w:r>
            <w:r>
              <w:rPr>
                <w:rFonts w:hint="default" w:ascii="Times New Roman" w:hAnsi="Times New Roman" w:eastAsia="宋体" w:cs="Times New Roman"/>
                <w:color w:val="auto"/>
                <w:szCs w:val="32"/>
                <w:highlight w:val="none"/>
                <w:lang w:eastAsia="zh-CN"/>
              </w:rPr>
              <w:t>以及配套设施的基坑开挖</w:t>
            </w:r>
            <w:r>
              <w:rPr>
                <w:rFonts w:hint="default" w:ascii="Times New Roman" w:hAnsi="Times New Roman" w:eastAsia="宋体" w:cs="Times New Roman"/>
                <w:bCs/>
                <w:color w:val="auto"/>
                <w:highlight w:val="none"/>
                <w:lang w:eastAsia="zh-CN"/>
              </w:rPr>
              <w:t>场地在施工前进行洒水降尘；</w:t>
            </w:r>
          </w:p>
          <w:p>
            <w:pPr>
              <w:pStyle w:val="4"/>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bCs/>
                <w:color w:val="auto"/>
                <w:highlight w:val="none"/>
                <w:lang w:eastAsia="zh-CN"/>
              </w:rPr>
            </w:pPr>
            <w:r>
              <w:rPr>
                <w:rFonts w:hint="default" w:ascii="Times New Roman" w:hAnsi="Times New Roman" w:eastAsia="宋体" w:cs="Times New Roman"/>
                <w:bCs/>
                <w:color w:val="auto"/>
                <w:highlight w:val="none"/>
                <w:lang w:eastAsia="zh-CN"/>
              </w:rPr>
              <w:t>（2）开挖</w:t>
            </w:r>
            <w:r>
              <w:rPr>
                <w:rFonts w:hint="default" w:ascii="Times New Roman" w:hAnsi="Times New Roman" w:eastAsia="宋体" w:cs="Times New Roman"/>
                <w:color w:val="auto"/>
                <w:szCs w:val="24"/>
                <w:highlight w:val="none"/>
                <w:lang w:eastAsia="zh-CN"/>
              </w:rPr>
              <w:t>土方堆放过程进行</w:t>
            </w:r>
            <w:r>
              <w:rPr>
                <w:rFonts w:hint="default" w:ascii="Times New Roman" w:hAnsi="Times New Roman" w:eastAsia="宋体" w:cs="Times New Roman"/>
                <w:bCs/>
                <w:color w:val="auto"/>
                <w:highlight w:val="none"/>
                <w:lang w:eastAsia="zh-CN"/>
              </w:rPr>
              <w:t>覆盖苫布，通过对堆场进行洒水；</w:t>
            </w:r>
          </w:p>
          <w:p>
            <w:pPr>
              <w:pStyle w:val="4"/>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bCs/>
                <w:color w:val="auto"/>
                <w:highlight w:val="none"/>
                <w:lang w:eastAsia="zh-CN"/>
              </w:rPr>
            </w:pPr>
            <w:r>
              <w:rPr>
                <w:rFonts w:hint="default" w:ascii="Times New Roman" w:hAnsi="Times New Roman" w:eastAsia="宋体" w:cs="Times New Roman"/>
                <w:bCs/>
                <w:color w:val="auto"/>
                <w:highlight w:val="none"/>
                <w:lang w:eastAsia="zh-CN"/>
              </w:rPr>
              <w:t>（3）建筑材料</w:t>
            </w:r>
            <w:r>
              <w:rPr>
                <w:rFonts w:hint="default" w:ascii="Times New Roman" w:hAnsi="Times New Roman" w:eastAsia="宋体" w:cs="Times New Roman"/>
                <w:color w:val="auto"/>
                <w:szCs w:val="24"/>
                <w:highlight w:val="none"/>
                <w:lang w:eastAsia="zh-CN"/>
              </w:rPr>
              <w:t>堆放过程进行</w:t>
            </w:r>
            <w:r>
              <w:rPr>
                <w:rFonts w:hint="default" w:ascii="Times New Roman" w:hAnsi="Times New Roman" w:eastAsia="宋体" w:cs="Times New Roman"/>
                <w:bCs/>
                <w:color w:val="auto"/>
                <w:highlight w:val="none"/>
                <w:lang w:eastAsia="zh-CN"/>
              </w:rPr>
              <w:t>覆盖苫布，通过对堆场进行洒水；</w:t>
            </w:r>
          </w:p>
          <w:p>
            <w:pPr>
              <w:pStyle w:val="4"/>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auto"/>
                <w:szCs w:val="24"/>
                <w:highlight w:val="none"/>
                <w:lang w:eastAsia="zh-CN"/>
              </w:rPr>
            </w:pPr>
            <w:r>
              <w:rPr>
                <w:rFonts w:hint="default" w:ascii="Times New Roman" w:hAnsi="Times New Roman" w:eastAsia="宋体" w:cs="Times New Roman"/>
                <w:bCs/>
                <w:color w:val="auto"/>
                <w:highlight w:val="none"/>
                <w:lang w:eastAsia="zh-CN"/>
              </w:rPr>
              <w:t>（4）运输道路进行洒水抑尘。</w:t>
            </w:r>
          </w:p>
          <w:p>
            <w:pPr>
              <w:pStyle w:val="4"/>
              <w:keepNext w:val="0"/>
              <w:keepLines w:val="0"/>
              <w:pageBreakBefore w:val="0"/>
              <w:widowControl w:val="0"/>
              <w:kinsoku/>
              <w:wordWrap/>
              <w:overflowPunct/>
              <w:topLinePunct w:val="0"/>
              <w:autoSpaceDE/>
              <w:autoSpaceDN/>
              <w:bidi w:val="0"/>
              <w:adjustRightInd/>
              <w:snapToGrid/>
              <w:spacing w:after="0" w:line="360" w:lineRule="auto"/>
              <w:ind w:left="0" w:leftChars="0" w:firstLine="482" w:firstLineChars="200"/>
              <w:jc w:val="both"/>
              <w:textAlignment w:val="auto"/>
              <w:rPr>
                <w:rFonts w:hint="default" w:ascii="Times New Roman" w:hAnsi="Times New Roman" w:eastAsia="宋体" w:cs="Times New Roman"/>
                <w:b/>
                <w:bCs/>
                <w:color w:val="auto"/>
                <w:szCs w:val="24"/>
                <w:highlight w:val="none"/>
                <w:lang w:eastAsia="zh-CN"/>
              </w:rPr>
            </w:pPr>
            <w:r>
              <w:rPr>
                <w:rFonts w:hint="default" w:ascii="Times New Roman" w:hAnsi="Times New Roman" w:eastAsia="宋体" w:cs="Times New Roman"/>
                <w:b/>
                <w:bCs/>
                <w:color w:val="auto"/>
                <w:szCs w:val="24"/>
                <w:highlight w:val="none"/>
                <w:lang w:eastAsia="zh-CN"/>
              </w:rPr>
              <w:t>2、废水环保措施</w:t>
            </w:r>
          </w:p>
          <w:p>
            <w:pPr>
              <w:pStyle w:val="4"/>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auto"/>
                <w:szCs w:val="24"/>
                <w:highlight w:val="none"/>
                <w:lang w:eastAsia="zh-CN"/>
              </w:rPr>
            </w:pPr>
            <w:r>
              <w:rPr>
                <w:rFonts w:hint="default" w:ascii="Times New Roman" w:hAnsi="Times New Roman" w:eastAsia="宋体" w:cs="Times New Roman"/>
                <w:color w:val="auto"/>
                <w:szCs w:val="24"/>
                <w:highlight w:val="none"/>
                <w:lang w:eastAsia="zh-CN"/>
              </w:rPr>
              <w:t>（1）施工人员的生活污水经厂区现有防渗化粪池处理后，定期清掏</w:t>
            </w:r>
            <w:r>
              <w:rPr>
                <w:rFonts w:hint="default" w:ascii="Times New Roman" w:hAnsi="Times New Roman" w:eastAsia="宋体" w:cs="Times New Roman"/>
                <w:color w:val="auto"/>
                <w:szCs w:val="21"/>
                <w:highlight w:val="none"/>
                <w:lang w:eastAsia="zh-CN"/>
              </w:rPr>
              <w:t>；</w:t>
            </w:r>
          </w:p>
          <w:p>
            <w:pPr>
              <w:pStyle w:val="4"/>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auto"/>
                <w:szCs w:val="24"/>
                <w:highlight w:val="none"/>
                <w:lang w:eastAsia="zh-CN"/>
              </w:rPr>
            </w:pPr>
            <w:r>
              <w:rPr>
                <w:rFonts w:hint="default" w:ascii="Times New Roman" w:hAnsi="Times New Roman" w:eastAsia="宋体" w:cs="Times New Roman"/>
                <w:color w:val="auto"/>
                <w:szCs w:val="24"/>
                <w:highlight w:val="none"/>
                <w:lang w:eastAsia="zh-CN"/>
              </w:rPr>
              <w:t>（2）施工废水经临时沉淀池处理后将上清液循环使用于施工生产，不外排。</w:t>
            </w:r>
          </w:p>
          <w:p>
            <w:pPr>
              <w:keepNext w:val="0"/>
              <w:keepLines w:val="0"/>
              <w:pageBreakBefore w:val="0"/>
              <w:widowControl w:val="0"/>
              <w:tabs>
                <w:tab w:val="left" w:pos="2880"/>
              </w:tabs>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3、噪声环保措施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为减轻施工期噪声对周围环境影响，建设单位应严格按照噪声污染防治管理的有关规定，</w:t>
            </w:r>
            <w:r>
              <w:rPr>
                <w:rFonts w:hint="default" w:ascii="Times New Roman" w:hAnsi="Times New Roman" w:eastAsia="宋体" w:cs="Times New Roman"/>
                <w:color w:val="auto"/>
                <w:sz w:val="24"/>
                <w:highlight w:val="none"/>
                <w:lang w:eastAsia="zh-CN"/>
              </w:rPr>
              <w:t>采取以下</w:t>
            </w:r>
            <w:r>
              <w:rPr>
                <w:rFonts w:hint="default" w:ascii="Times New Roman" w:hAnsi="Times New Roman" w:eastAsia="宋体" w:cs="Times New Roman"/>
                <w:color w:val="auto"/>
                <w:sz w:val="24"/>
                <w:highlight w:val="none"/>
              </w:rPr>
              <w:t>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（1）施工现场合理布局，以避免局部声级过高，尽可能将施工阶段的噪声减至</w:t>
            </w:r>
            <w:r>
              <w:rPr>
                <w:rFonts w:hint="default" w:ascii="Times New Roman" w:hAnsi="Times New Roman" w:eastAsia="宋体" w:cs="Times New Roman"/>
                <w:color w:val="auto"/>
                <w:sz w:val="24"/>
                <w:highlight w:val="none"/>
                <w:lang w:eastAsia="zh-CN"/>
              </w:rPr>
              <w:t>最低</w:t>
            </w:r>
            <w:r>
              <w:rPr>
                <w:rFonts w:hint="default" w:ascii="Times New Roman" w:hAnsi="Times New Roman" w:eastAsia="宋体" w:cs="Times New Roman"/>
                <w:color w:val="auto"/>
                <w:sz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（2）现场施工人员要严加管理，在施工建设时要防止互相撞击噪声，要文明施工。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（3）合理安排作业时间，严禁中午和晚上施工。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（4）及时保养维修施工机械，严格按照操作规程使用各类机械。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（5）在施工场地周围设置挡板。</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4、固体废物环保措施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（1）建筑垃圾按照当地执法部门要求进行处置。</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（2）设备包装物收集后外售废品收购站。</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bCs/>
                <w:color w:val="auto"/>
                <w:spacing w:val="-10"/>
                <w:szCs w:val="21"/>
                <w:highlight w:val="none"/>
              </w:rPr>
            </w:pPr>
            <w:r>
              <w:rPr>
                <w:rFonts w:hint="default" w:ascii="Times New Roman" w:hAnsi="Times New Roman" w:eastAsia="宋体" w:cs="Times New Roman"/>
                <w:color w:val="auto"/>
                <w:kern w:val="0"/>
                <w:sz w:val="24"/>
                <w:highlight w:val="none"/>
              </w:rPr>
              <w:t>（3）施工人员的生活垃圾经垃圾桶收集后，由当地环卫部门定期清运</w:t>
            </w:r>
            <w:r>
              <w:rPr>
                <w:rFonts w:hint="default" w:ascii="Times New Roman" w:hAnsi="Times New Roman" w:eastAsia="宋体" w:cs="Times New Roman"/>
                <w:color w:val="auto"/>
                <w:highlight w:val="none"/>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67" w:hRule="atLeast"/>
          <w:jc w:val="center"/>
        </w:trPr>
        <w:tc>
          <w:tcPr>
            <w:tcW w:w="746" w:type="dxa"/>
            <w:tcBorders>
              <w:right w:val="single" w:color="000000" w:sz="2" w:space="0"/>
            </w:tcBorders>
            <w:tcMar>
              <w:left w:w="28" w:type="dxa"/>
              <w:right w:w="28" w:type="dxa"/>
            </w:tcMar>
            <w:vAlign w:val="center"/>
          </w:tcPr>
          <w:p>
            <w:pPr>
              <w:kinsoku/>
              <w:wordWrap/>
              <w:bidi w:val="0"/>
              <w:adjustRightInd w:val="0"/>
              <w:snapToGrid w:val="0"/>
              <w:spacing w:line="360" w:lineRule="auto"/>
              <w:ind w:left="0" w:leftChars="0" w:right="0" w:rightChars="0" w:firstLine="0" w:firstLine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运营</w:t>
            </w:r>
          </w:p>
          <w:p>
            <w:pPr>
              <w:kinsoku/>
              <w:wordWrap/>
              <w:bidi w:val="0"/>
              <w:adjustRightInd w:val="0"/>
              <w:snapToGrid w:val="0"/>
              <w:spacing w:line="360" w:lineRule="auto"/>
              <w:ind w:left="0" w:leftChars="0" w:right="0" w:rightChars="0" w:firstLine="0" w:firstLine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期环</w:t>
            </w:r>
          </w:p>
          <w:p>
            <w:pPr>
              <w:kinsoku/>
              <w:wordWrap/>
              <w:bidi w:val="0"/>
              <w:adjustRightInd w:val="0"/>
              <w:snapToGrid w:val="0"/>
              <w:spacing w:line="360" w:lineRule="auto"/>
              <w:ind w:left="0" w:leftChars="0" w:right="0" w:rightChars="0" w:firstLine="0" w:firstLine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境影</w:t>
            </w:r>
          </w:p>
          <w:p>
            <w:pPr>
              <w:kinsoku/>
              <w:wordWrap/>
              <w:bidi w:val="0"/>
              <w:adjustRightInd w:val="0"/>
              <w:snapToGrid w:val="0"/>
              <w:spacing w:line="360" w:lineRule="auto"/>
              <w:ind w:left="0" w:leftChars="0" w:right="0" w:rightChars="0" w:firstLine="0" w:firstLine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响和</w:t>
            </w:r>
          </w:p>
          <w:p>
            <w:pPr>
              <w:kinsoku/>
              <w:wordWrap/>
              <w:bidi w:val="0"/>
              <w:adjustRightInd w:val="0"/>
              <w:snapToGrid w:val="0"/>
              <w:spacing w:line="360" w:lineRule="auto"/>
              <w:ind w:left="0" w:leftChars="0" w:right="0" w:rightChars="0" w:firstLine="0" w:firstLine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保护</w:t>
            </w:r>
          </w:p>
          <w:p>
            <w:pPr>
              <w:kinsoku/>
              <w:wordWrap/>
              <w:bidi w:val="0"/>
              <w:spacing w:line="360" w:lineRule="auto"/>
              <w:ind w:left="0" w:leftChars="0" w:right="0" w:rightChars="0" w:firstLine="0" w:firstLine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措施</w:t>
            </w:r>
          </w:p>
        </w:tc>
        <w:tc>
          <w:tcPr>
            <w:tcW w:w="8162" w:type="dxa"/>
            <w:tcBorders>
              <w:top w:val="single" w:color="000000" w:sz="2" w:space="0"/>
              <w:left w:val="single" w:color="000000" w:sz="2" w:space="0"/>
              <w:bottom w:val="single" w:color="000000" w:sz="2" w:space="0"/>
              <w:right w:val="single" w:color="000000" w:sz="2" w:space="0"/>
            </w:tcBorders>
            <w:vAlign w:val="top"/>
          </w:tcPr>
          <w:p>
            <w:pPr>
              <w:bidi w:val="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rPr>
              <w:t>1、废气</w:t>
            </w:r>
            <w:r>
              <w:rPr>
                <w:rFonts w:hint="default" w:ascii="Times New Roman" w:hAnsi="Times New Roman" w:eastAsia="宋体" w:cs="Times New Roman"/>
                <w:b/>
                <w:bCs/>
                <w:color w:val="auto"/>
                <w:highlight w:val="none"/>
                <w:lang w:val="en-US" w:eastAsia="zh-CN"/>
              </w:rPr>
              <w:t>产排情况及治理措施可行性分析</w:t>
            </w:r>
          </w:p>
          <w:p>
            <w:pPr>
              <w:bidi w:val="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1.1废气产排情况</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改建项目</w:t>
            </w:r>
            <w:r>
              <w:rPr>
                <w:rFonts w:hint="default" w:ascii="Times New Roman" w:hAnsi="Times New Roman" w:eastAsia="宋体" w:cs="Times New Roman"/>
                <w:color w:val="auto"/>
                <w:highlight w:val="none"/>
              </w:rPr>
              <w:t>运营期产生的大气污染物主要为</w:t>
            </w:r>
            <w:r>
              <w:rPr>
                <w:rFonts w:hint="default" w:ascii="Times New Roman" w:hAnsi="Times New Roman" w:eastAsia="宋体" w:cs="Times New Roman"/>
                <w:color w:val="auto"/>
                <w:highlight w:val="none"/>
                <w:lang w:eastAsia="zh-CN"/>
              </w:rPr>
              <w:t>生物质热水锅炉</w:t>
            </w:r>
            <w:r>
              <w:rPr>
                <w:rFonts w:hint="default" w:ascii="Times New Roman" w:hAnsi="Times New Roman" w:eastAsia="宋体" w:cs="Times New Roman"/>
                <w:color w:val="auto"/>
                <w:highlight w:val="none"/>
              </w:rPr>
              <w:t>废气</w:t>
            </w:r>
            <w:r>
              <w:rPr>
                <w:rFonts w:hint="default" w:ascii="Times New Roman" w:hAnsi="Times New Roman" w:eastAsia="宋体" w:cs="Times New Roman"/>
                <w:color w:val="auto"/>
                <w:highlight w:val="none"/>
                <w:lang w:val="en-US" w:eastAsia="zh-CN"/>
              </w:rPr>
              <w:t>和</w:t>
            </w:r>
            <w:r>
              <w:rPr>
                <w:rFonts w:hint="default" w:ascii="Times New Roman" w:hAnsi="Times New Roman" w:eastAsia="宋体" w:cs="Times New Roman"/>
                <w:color w:val="auto"/>
                <w:highlight w:val="none"/>
                <w:lang w:eastAsia="zh-CN"/>
              </w:rPr>
              <w:t>灰渣库</w:t>
            </w:r>
            <w:r>
              <w:rPr>
                <w:rFonts w:hint="default" w:ascii="Times New Roman" w:hAnsi="Times New Roman" w:eastAsia="宋体" w:cs="Times New Roman"/>
                <w:color w:val="auto"/>
                <w:highlight w:val="none"/>
              </w:rPr>
              <w:t>废气。</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1.1.1生物质热水锅炉废气</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生物质热水锅炉废气</w:t>
            </w:r>
            <w:r>
              <w:rPr>
                <w:rFonts w:hint="default" w:ascii="Times New Roman" w:hAnsi="Times New Roman" w:eastAsia="宋体" w:cs="Times New Roman"/>
                <w:color w:val="auto"/>
                <w:sz w:val="24"/>
                <w:szCs w:val="24"/>
                <w:highlight w:val="none"/>
              </w:rPr>
              <w:t>中主要大气污染物为颗粒物、SO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、NOx、汞及其化合物</w:t>
            </w:r>
            <w:r>
              <w:rPr>
                <w:rFonts w:hint="default" w:ascii="Times New Roman" w:hAnsi="Times New Roman" w:eastAsia="宋体" w:cs="Times New Roman"/>
                <w:color w:val="auto"/>
                <w:sz w:val="24"/>
                <w:szCs w:val="24"/>
                <w:highlight w:val="none"/>
                <w:lang w:eastAsia="zh-CN"/>
              </w:rPr>
              <w:t>、烟气黑度，生物质成型燃料</w:t>
            </w:r>
            <w:r>
              <w:rPr>
                <w:rFonts w:hint="default" w:ascii="Times New Roman" w:hAnsi="Times New Roman" w:eastAsia="宋体" w:cs="Times New Roman"/>
                <w:color w:val="auto"/>
                <w:sz w:val="24"/>
                <w:szCs w:val="24"/>
                <w:highlight w:val="none"/>
              </w:rPr>
              <w:t>消耗量为</w:t>
            </w:r>
            <w:r>
              <w:rPr>
                <w:rFonts w:hint="default" w:ascii="Times New Roman" w:hAnsi="Times New Roman" w:eastAsia="宋体" w:cs="Times New Roman"/>
                <w:color w:val="auto"/>
                <w:sz w:val="24"/>
                <w:szCs w:val="24"/>
                <w:highlight w:val="none"/>
                <w:lang w:val="en-US" w:eastAsia="zh-CN"/>
              </w:rPr>
              <w:t>2160</w:t>
            </w:r>
            <w:r>
              <w:rPr>
                <w:rFonts w:hint="default" w:ascii="Times New Roman" w:hAnsi="Times New Roman" w:eastAsia="宋体" w:cs="Times New Roman"/>
                <w:color w:val="auto"/>
                <w:sz w:val="24"/>
                <w:szCs w:val="24"/>
                <w:highlight w:val="none"/>
              </w:rPr>
              <w:t>t/a</w:t>
            </w:r>
            <w:r>
              <w:rPr>
                <w:rFonts w:hint="default" w:ascii="Times New Roman" w:hAnsi="Times New Roman" w:eastAsia="宋体" w:cs="Times New Roman"/>
                <w:color w:val="auto"/>
                <w:sz w:val="24"/>
                <w:szCs w:val="24"/>
                <w:highlight w:val="none"/>
                <w:lang w:eastAsia="zh-CN"/>
              </w:rPr>
              <w:t>。污染物产排系数</w:t>
            </w:r>
            <w:r>
              <w:rPr>
                <w:rFonts w:hint="default" w:ascii="Times New Roman" w:hAnsi="Times New Roman" w:eastAsia="宋体" w:cs="Times New Roman"/>
                <w:color w:val="auto"/>
                <w:sz w:val="24"/>
                <w:szCs w:val="24"/>
                <w:highlight w:val="none"/>
              </w:rPr>
              <w:t>具体计算如下：</w:t>
            </w:r>
          </w:p>
          <w:p>
            <w:pPr>
              <w:pageBreakBefore w:val="0"/>
              <w:kinsoku/>
              <w:wordWrap/>
              <w:overflowPunct/>
              <w:bidi w:val="0"/>
              <w:spacing w:line="360" w:lineRule="auto"/>
              <w:ind w:left="0" w:leftChars="0" w:right="0" w:rightChars="0" w:firstLine="482" w:firstLineChars="20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4-1  生物质热水锅炉</w:t>
            </w:r>
            <w:r>
              <w:rPr>
                <w:rFonts w:hint="default" w:ascii="Times New Roman" w:hAnsi="Times New Roman" w:eastAsia="宋体" w:cs="Times New Roman"/>
                <w:b/>
                <w:bCs/>
                <w:color w:val="auto"/>
                <w:sz w:val="24"/>
                <w:szCs w:val="24"/>
                <w:highlight w:val="none"/>
              </w:rPr>
              <w:t>的废气产排污系数表</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rPr>
              <w:t>摘录）</w:t>
            </w:r>
          </w:p>
          <w:tbl>
            <w:tblPr>
              <w:tblStyle w:val="19"/>
              <w:tblW w:w="81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6"/>
              <w:gridCol w:w="1086"/>
              <w:gridCol w:w="1086"/>
              <w:gridCol w:w="1387"/>
              <w:gridCol w:w="2376"/>
              <w:gridCol w:w="10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6" w:type="dxa"/>
                  <w:noWrap w:val="0"/>
                  <w:vAlign w:val="center"/>
                </w:tcPr>
                <w:p>
                  <w:pPr>
                    <w:keepNext w:val="0"/>
                    <w:keepLines w:val="0"/>
                    <w:pageBreakBefore w:val="0"/>
                    <w:widowControl/>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产品</w:t>
                  </w:r>
                </w:p>
                <w:p>
                  <w:pPr>
                    <w:keepNext w:val="0"/>
                    <w:keepLines w:val="0"/>
                    <w:pageBreakBefore w:val="0"/>
                    <w:widowControl/>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名称</w:t>
                  </w:r>
                </w:p>
              </w:tc>
              <w:tc>
                <w:tcPr>
                  <w:tcW w:w="10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原料</w:t>
                  </w:r>
                </w:p>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名称</w:t>
                  </w:r>
                </w:p>
              </w:tc>
              <w:tc>
                <w:tcPr>
                  <w:tcW w:w="10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工艺</w:t>
                  </w:r>
                </w:p>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名称</w:t>
                  </w:r>
                </w:p>
              </w:tc>
              <w:tc>
                <w:tcPr>
                  <w:tcW w:w="1387"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污染物</w:t>
                  </w:r>
                </w:p>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指标</w:t>
                  </w:r>
                </w:p>
              </w:tc>
              <w:tc>
                <w:tcPr>
                  <w:tcW w:w="237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单位</w:t>
                  </w:r>
                </w:p>
              </w:tc>
              <w:tc>
                <w:tcPr>
                  <w:tcW w:w="10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产污系数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6" w:type="dxa"/>
                  <w:vMerge w:val="restart"/>
                  <w:noWrap w:val="0"/>
                  <w:vAlign w:val="center"/>
                </w:tcPr>
                <w:p>
                  <w:pPr>
                    <w:keepNext w:val="0"/>
                    <w:keepLines w:val="0"/>
                    <w:pageBreakBefore w:val="0"/>
                    <w:widowControl/>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蒸汽</w:t>
                  </w:r>
                  <w:r>
                    <w:rPr>
                      <w:rFonts w:hint="default" w:ascii="Times New Roman" w:hAnsi="Times New Roman" w:eastAsia="宋体" w:cs="Times New Roman"/>
                      <w:color w:val="auto"/>
                      <w:kern w:val="0"/>
                      <w:sz w:val="21"/>
                      <w:szCs w:val="21"/>
                      <w:highlight w:val="none"/>
                      <w:lang w:val="en-US" w:eastAsia="zh-CN"/>
                    </w:rPr>
                    <w:t>/热水/其他</w:t>
                  </w:r>
                </w:p>
              </w:tc>
              <w:tc>
                <w:tcPr>
                  <w:tcW w:w="1086" w:type="dxa"/>
                  <w:vMerge w:val="restart"/>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生物质燃料</w:t>
                  </w:r>
                </w:p>
              </w:tc>
              <w:tc>
                <w:tcPr>
                  <w:tcW w:w="1086" w:type="dxa"/>
                  <w:vMerge w:val="restart"/>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层燃炉</w:t>
                  </w:r>
                </w:p>
              </w:tc>
              <w:tc>
                <w:tcPr>
                  <w:tcW w:w="1387"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工业废气量</w:t>
                  </w:r>
                </w:p>
              </w:tc>
              <w:tc>
                <w:tcPr>
                  <w:tcW w:w="237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eastAsia="zh-CN"/>
                    </w:rPr>
                    <w:t>标立方米</w:t>
                  </w:r>
                  <w:r>
                    <w:rPr>
                      <w:rFonts w:hint="default" w:ascii="Times New Roman" w:hAnsi="Times New Roman" w:eastAsia="宋体" w:cs="Times New Roman"/>
                      <w:color w:val="auto"/>
                      <w:kern w:val="0"/>
                      <w:sz w:val="21"/>
                      <w:szCs w:val="21"/>
                      <w:highlight w:val="none"/>
                    </w:rPr>
                    <w:t>/吨-原料</w:t>
                  </w:r>
                </w:p>
              </w:tc>
              <w:tc>
                <w:tcPr>
                  <w:tcW w:w="10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6240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6" w:type="dxa"/>
                  <w:vMerge w:val="continue"/>
                  <w:noWrap w:val="0"/>
                  <w:vAlign w:val="center"/>
                </w:tcPr>
                <w:p>
                  <w:pPr>
                    <w:keepNext w:val="0"/>
                    <w:keepLines w:val="0"/>
                    <w:pageBreakBefore w:val="0"/>
                    <w:widowControl/>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086" w:type="dxa"/>
                  <w:vMerge w:val="continue"/>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eastAsia="zh-CN"/>
                    </w:rPr>
                  </w:pPr>
                </w:p>
              </w:tc>
              <w:tc>
                <w:tcPr>
                  <w:tcW w:w="1086" w:type="dxa"/>
                  <w:vMerge w:val="continue"/>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387"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二氧化硫</w:t>
                  </w:r>
                </w:p>
              </w:tc>
              <w:tc>
                <w:tcPr>
                  <w:tcW w:w="237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千克/吨</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原料</w:t>
                  </w:r>
                </w:p>
              </w:tc>
              <w:tc>
                <w:tcPr>
                  <w:tcW w:w="10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1</w:t>
                  </w:r>
                  <w:r>
                    <w:rPr>
                      <w:rFonts w:hint="default" w:ascii="Times New Roman" w:hAnsi="Times New Roman" w:eastAsia="宋体" w:cs="Times New Roman"/>
                      <w:color w:val="auto"/>
                      <w:kern w:val="0"/>
                      <w:sz w:val="21"/>
                      <w:szCs w:val="21"/>
                      <w:highlight w:val="none"/>
                      <w:lang w:val="en-US" w:eastAsia="zh-CN"/>
                    </w:rPr>
                    <w:t>7</w:t>
                  </w:r>
                  <w:r>
                    <w:rPr>
                      <w:rFonts w:hint="default" w:ascii="Times New Roman" w:hAnsi="Times New Roman" w:eastAsia="宋体" w:cs="Times New Roman"/>
                      <w:color w:val="auto"/>
                      <w:kern w:val="0"/>
                      <w:sz w:val="21"/>
                      <w:szCs w:val="21"/>
                      <w:highlight w:val="none"/>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6" w:type="dxa"/>
                  <w:vMerge w:val="continue"/>
                  <w:noWrap w:val="0"/>
                  <w:vAlign w:val="center"/>
                </w:tcPr>
                <w:p>
                  <w:pPr>
                    <w:keepNext w:val="0"/>
                    <w:keepLines w:val="0"/>
                    <w:pageBreakBefore w:val="0"/>
                    <w:widowControl/>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086" w:type="dxa"/>
                  <w:vMerge w:val="continue"/>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eastAsia="zh-CN"/>
                    </w:rPr>
                  </w:pPr>
                </w:p>
              </w:tc>
              <w:tc>
                <w:tcPr>
                  <w:tcW w:w="1086" w:type="dxa"/>
                  <w:vMerge w:val="continue"/>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387"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颗粒物</w:t>
                  </w:r>
                </w:p>
              </w:tc>
              <w:tc>
                <w:tcPr>
                  <w:tcW w:w="237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千克/吨</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原料</w:t>
                  </w:r>
                </w:p>
              </w:tc>
              <w:tc>
                <w:tcPr>
                  <w:tcW w:w="10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rPr>
                  </w:pPr>
                  <w:r>
                    <w:rPr>
                      <w:rFonts w:hint="default" w:ascii="Times New Roman" w:hAnsi="Times New Roman" w:eastAsia="宋体" w:cs="Times New Roman"/>
                      <w:color w:val="auto"/>
                      <w:sz w:val="21"/>
                      <w:szCs w:val="21"/>
                      <w:highlight w:val="none"/>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6" w:type="dxa"/>
                  <w:vMerge w:val="continue"/>
                  <w:noWrap w:val="0"/>
                  <w:vAlign w:val="center"/>
                </w:tcPr>
                <w:p>
                  <w:pPr>
                    <w:keepNext w:val="0"/>
                    <w:keepLines w:val="0"/>
                    <w:pageBreakBefore w:val="0"/>
                    <w:widowControl/>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086" w:type="dxa"/>
                  <w:vMerge w:val="continue"/>
                  <w:noWrap w:val="0"/>
                  <w:vAlign w:val="center"/>
                </w:tcPr>
                <w:p>
                  <w:pPr>
                    <w:keepNext w:val="0"/>
                    <w:keepLines w:val="0"/>
                    <w:pageBreakBefore w:val="0"/>
                    <w:widowControl/>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086" w:type="dxa"/>
                  <w:vMerge w:val="continue"/>
                  <w:noWrap w:val="0"/>
                  <w:vAlign w:val="center"/>
                </w:tcPr>
                <w:p>
                  <w:pPr>
                    <w:keepNext w:val="0"/>
                    <w:keepLines w:val="0"/>
                    <w:pageBreakBefore w:val="0"/>
                    <w:widowControl/>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387"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氮氧化物</w:t>
                  </w:r>
                </w:p>
              </w:tc>
              <w:tc>
                <w:tcPr>
                  <w:tcW w:w="237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千克/吨</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原料</w:t>
                  </w:r>
                </w:p>
              </w:tc>
              <w:tc>
                <w:tcPr>
                  <w:tcW w:w="1086" w:type="dxa"/>
                  <w:noWrap w:val="0"/>
                  <w:vAlign w:val="center"/>
                </w:tcPr>
                <w:p>
                  <w:pPr>
                    <w:keepNext w:val="0"/>
                    <w:keepLines w:val="0"/>
                    <w:pageBreakBefore w:val="0"/>
                    <w:widowControl/>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1.02</w:t>
                  </w:r>
                </w:p>
              </w:tc>
            </w:tr>
          </w:tbl>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leftChars="0" w:right="0" w:rightChars="0" w:firstLine="482" w:firstLineChars="200"/>
              <w:jc w:val="both"/>
              <w:textAlignment w:val="auto"/>
              <w:rPr>
                <w:rFonts w:hint="default" w:ascii="Times New Roman" w:hAnsi="Times New Roman" w:eastAsia="宋体" w:cs="Times New Roman"/>
                <w:b/>
                <w:bCs/>
                <w:color w:val="auto"/>
                <w:kern w:val="0"/>
                <w:sz w:val="24"/>
                <w:szCs w:val="24"/>
                <w:highlight w:val="none"/>
                <w:lang w:eastAsia="zh-CN"/>
              </w:rPr>
            </w:pPr>
            <w:r>
              <w:rPr>
                <w:rFonts w:hint="default" w:ascii="Times New Roman" w:hAnsi="Times New Roman" w:eastAsia="宋体" w:cs="Times New Roman"/>
                <w:b/>
                <w:bCs/>
                <w:color w:val="auto"/>
                <w:kern w:val="0"/>
                <w:sz w:val="24"/>
                <w:szCs w:val="24"/>
                <w:highlight w:val="none"/>
              </w:rPr>
              <w:t>（</w:t>
            </w:r>
            <w:r>
              <w:rPr>
                <w:rFonts w:hint="default" w:ascii="Times New Roman" w:hAnsi="Times New Roman" w:eastAsia="宋体" w:cs="Times New Roman"/>
                <w:b/>
                <w:bCs/>
                <w:color w:val="auto"/>
                <w:kern w:val="0"/>
                <w:sz w:val="24"/>
                <w:szCs w:val="24"/>
                <w:highlight w:val="none"/>
                <w:lang w:val="en-US" w:eastAsia="zh-CN"/>
              </w:rPr>
              <w:t>1</w:t>
            </w:r>
            <w:r>
              <w:rPr>
                <w:rFonts w:hint="default" w:ascii="Times New Roman" w:hAnsi="Times New Roman" w:eastAsia="宋体" w:cs="Times New Roman"/>
                <w:b/>
                <w:bCs/>
                <w:color w:val="auto"/>
                <w:kern w:val="0"/>
                <w:sz w:val="24"/>
                <w:szCs w:val="24"/>
                <w:highlight w:val="none"/>
              </w:rPr>
              <w:t>）</w:t>
            </w:r>
            <w:r>
              <w:rPr>
                <w:rFonts w:hint="default" w:ascii="Times New Roman" w:hAnsi="Times New Roman" w:eastAsia="宋体" w:cs="Times New Roman"/>
                <w:b/>
                <w:bCs/>
                <w:color w:val="auto"/>
                <w:kern w:val="0"/>
                <w:sz w:val="24"/>
                <w:szCs w:val="24"/>
                <w:highlight w:val="none"/>
                <w:lang w:eastAsia="zh-CN"/>
              </w:rPr>
              <w:t>工业废气量</w:t>
            </w:r>
          </w:p>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b w:val="0"/>
                <w:bCs w:val="0"/>
                <w:color w:val="auto"/>
                <w:kern w:val="0"/>
                <w:sz w:val="24"/>
                <w:szCs w:val="24"/>
                <w:highlight w:val="none"/>
                <w:lang w:val="en-US" w:eastAsia="zh-CN"/>
              </w:rPr>
            </w:pPr>
            <w:r>
              <w:rPr>
                <w:rFonts w:hint="default" w:ascii="Times New Roman" w:hAnsi="Times New Roman" w:eastAsia="宋体" w:cs="Times New Roman"/>
                <w:b w:val="0"/>
                <w:bCs w:val="0"/>
                <w:color w:val="auto"/>
                <w:kern w:val="0"/>
                <w:sz w:val="24"/>
                <w:szCs w:val="24"/>
                <w:highlight w:val="none"/>
                <w:lang w:val="en-US" w:eastAsia="zh-CN"/>
              </w:rPr>
              <w:t>根据《排放源统计调查产排污核算方法和系数手册》（公告2021年第24号）--4430工业锅炉（热力供应）行业系数手册--生物质工业锅炉，工业废气量产污系数按6240标立方米/吨-原料，</w:t>
            </w:r>
            <w:r>
              <w:rPr>
                <w:rFonts w:hint="default" w:ascii="Times New Roman" w:hAnsi="Times New Roman" w:eastAsia="宋体" w:cs="Times New Roman"/>
                <w:color w:val="auto"/>
                <w:kern w:val="0"/>
                <w:sz w:val="24"/>
                <w:szCs w:val="24"/>
                <w:highlight w:val="none"/>
                <w:lang w:eastAsia="zh-CN"/>
              </w:rPr>
              <w:t>生物质成型燃料</w:t>
            </w:r>
            <w:r>
              <w:rPr>
                <w:rFonts w:hint="default" w:ascii="Times New Roman" w:hAnsi="Times New Roman" w:eastAsia="宋体" w:cs="Times New Roman"/>
                <w:color w:val="auto"/>
                <w:sz w:val="24"/>
                <w:szCs w:val="24"/>
                <w:highlight w:val="none"/>
              </w:rPr>
              <w:t>消耗量为</w:t>
            </w:r>
            <w:r>
              <w:rPr>
                <w:rFonts w:hint="default" w:ascii="Times New Roman" w:hAnsi="Times New Roman" w:eastAsia="宋体" w:cs="Times New Roman"/>
                <w:color w:val="auto"/>
                <w:sz w:val="24"/>
                <w:szCs w:val="24"/>
                <w:highlight w:val="none"/>
                <w:lang w:val="en-US" w:eastAsia="zh-CN"/>
              </w:rPr>
              <w:t>2160</w:t>
            </w:r>
            <w:r>
              <w:rPr>
                <w:rFonts w:hint="default" w:ascii="Times New Roman" w:hAnsi="Times New Roman" w:eastAsia="宋体" w:cs="Times New Roman"/>
                <w:color w:val="auto"/>
                <w:sz w:val="24"/>
                <w:szCs w:val="24"/>
                <w:highlight w:val="none"/>
              </w:rPr>
              <w:t>t/a，则1台</w:t>
            </w:r>
            <w:r>
              <w:rPr>
                <w:rFonts w:hint="default" w:ascii="Times New Roman" w:hAnsi="Times New Roman" w:eastAsia="宋体" w:cs="Times New Roman"/>
                <w:color w:val="auto"/>
                <w:sz w:val="24"/>
                <w:szCs w:val="24"/>
                <w:highlight w:val="none"/>
                <w:lang w:eastAsia="zh-CN"/>
              </w:rPr>
              <w:t>生物质热水锅炉工业废气量产生量为</w:t>
            </w:r>
            <w:r>
              <w:rPr>
                <w:rFonts w:hint="default" w:ascii="Times New Roman" w:hAnsi="Times New Roman" w:eastAsia="宋体" w:cs="Times New Roman"/>
                <w:color w:val="auto"/>
                <w:sz w:val="24"/>
                <w:szCs w:val="24"/>
                <w:highlight w:val="none"/>
                <w:lang w:val="en-US" w:eastAsia="zh-CN"/>
              </w:rPr>
              <w:t>2160t/a</w:t>
            </w:r>
            <w:r>
              <w:rPr>
                <w:rFonts w:hint="default" w:ascii="Times New Roman" w:hAnsi="Times New Roman" w:eastAsia="宋体" w:cs="Times New Roman"/>
                <w:color w:val="auto"/>
                <w:sz w:val="24"/>
                <w:szCs w:val="24"/>
                <w:highlight w:val="none"/>
              </w:rPr>
              <w:t>×6240标立方米/吨-原料</w:t>
            </w:r>
            <w:r>
              <w:rPr>
                <w:rFonts w:hint="default" w:ascii="Times New Roman" w:hAnsi="Times New Roman" w:eastAsia="宋体" w:cs="Times New Roman"/>
                <w:b w:val="0"/>
                <w:bCs w:val="0"/>
                <w:color w:val="auto"/>
                <w:kern w:val="0"/>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1347.84×10</w:t>
            </w:r>
            <w:r>
              <w:rPr>
                <w:rFonts w:hint="default" w:ascii="Times New Roman" w:hAnsi="Times New Roman" w:eastAsia="宋体" w:cs="Times New Roman"/>
                <w:color w:val="auto"/>
                <w:sz w:val="24"/>
                <w:szCs w:val="24"/>
                <w:highlight w:val="none"/>
                <w:vertAlign w:val="superscript"/>
                <w:lang w:val="en-US" w:eastAsia="zh-CN"/>
              </w:rPr>
              <w:t>4</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/a</w:t>
            </w:r>
            <w:r>
              <w:rPr>
                <w:rFonts w:hint="default" w:ascii="Times New Roman" w:hAnsi="Times New Roman" w:eastAsia="宋体" w:cs="Times New Roman"/>
                <w:b w:val="0"/>
                <w:bCs w:val="0"/>
                <w:color w:val="auto"/>
                <w:kern w:val="0"/>
                <w:sz w:val="24"/>
                <w:szCs w:val="24"/>
                <w:highlight w:val="none"/>
                <w:lang w:val="en-US" w:eastAsia="zh-CN"/>
              </w:rPr>
              <w:t>。改建项目全</w:t>
            </w:r>
            <w:r>
              <w:rPr>
                <w:rFonts w:hint="default" w:ascii="Times New Roman" w:hAnsi="Times New Roman" w:eastAsia="宋体" w:cs="Times New Roman"/>
                <w:bCs/>
                <w:color w:val="auto"/>
                <w:highlight w:val="none"/>
              </w:rPr>
              <w:t>年工作</w:t>
            </w:r>
            <w:r>
              <w:rPr>
                <w:rFonts w:hint="default" w:ascii="Times New Roman" w:hAnsi="Times New Roman" w:eastAsia="宋体" w:cs="Times New Roman"/>
                <w:bCs/>
                <w:color w:val="auto"/>
                <w:highlight w:val="none"/>
                <w:lang w:val="en-US" w:eastAsia="zh-CN"/>
              </w:rPr>
              <w:t>4320</w:t>
            </w:r>
            <w:r>
              <w:rPr>
                <w:rFonts w:hint="default" w:ascii="Times New Roman" w:hAnsi="Times New Roman" w:eastAsia="宋体" w:cs="Times New Roman"/>
                <w:bCs/>
                <w:color w:val="auto"/>
                <w:highlight w:val="none"/>
              </w:rPr>
              <w:t>h</w:t>
            </w:r>
            <w:r>
              <w:rPr>
                <w:rFonts w:hint="default" w:ascii="Times New Roman" w:hAnsi="Times New Roman" w:eastAsia="宋体" w:cs="Times New Roman"/>
                <w:bCs/>
                <w:color w:val="auto"/>
                <w:highlight w:val="none"/>
                <w:lang w:eastAsia="zh-CN"/>
              </w:rPr>
              <w:t>，则每小时</w:t>
            </w:r>
            <w:r>
              <w:rPr>
                <w:rFonts w:hint="default" w:ascii="Times New Roman" w:hAnsi="Times New Roman" w:eastAsia="宋体" w:cs="Times New Roman"/>
                <w:color w:val="auto"/>
                <w:sz w:val="24"/>
                <w:szCs w:val="24"/>
                <w:highlight w:val="none"/>
                <w:lang w:eastAsia="zh-CN"/>
              </w:rPr>
              <w:t>工业废气量为</w:t>
            </w:r>
            <w:r>
              <w:rPr>
                <w:rFonts w:hint="default" w:ascii="Times New Roman" w:hAnsi="Times New Roman" w:eastAsia="宋体" w:cs="Times New Roman"/>
                <w:color w:val="auto"/>
                <w:sz w:val="24"/>
                <w:szCs w:val="24"/>
                <w:highlight w:val="none"/>
                <w:lang w:val="en-US" w:eastAsia="zh-CN"/>
              </w:rPr>
              <w:t>3120m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/h</w:t>
            </w:r>
            <w:r>
              <w:rPr>
                <w:rFonts w:hint="default" w:ascii="Times New Roman" w:hAnsi="Times New Roman" w:eastAsia="宋体" w:cs="Times New Roman"/>
                <w:bCs/>
                <w:color w:val="auto"/>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leftChars="0" w:right="0" w:rightChars="0" w:firstLine="482" w:firstLineChars="200"/>
              <w:jc w:val="both"/>
              <w:textAlignment w:val="auto"/>
              <w:rPr>
                <w:rFonts w:hint="default" w:ascii="Times New Roman" w:hAnsi="Times New Roman" w:eastAsia="宋体" w:cs="Times New Roman"/>
                <w:b/>
                <w:bCs/>
                <w:color w:val="auto"/>
                <w:kern w:val="0"/>
                <w:sz w:val="24"/>
                <w:szCs w:val="24"/>
                <w:highlight w:val="none"/>
              </w:rPr>
            </w:pPr>
            <w:r>
              <w:rPr>
                <w:rFonts w:hint="default" w:ascii="Times New Roman" w:hAnsi="Times New Roman" w:eastAsia="宋体" w:cs="Times New Roman"/>
                <w:b/>
                <w:bCs/>
                <w:color w:val="auto"/>
                <w:kern w:val="0"/>
                <w:sz w:val="24"/>
                <w:szCs w:val="24"/>
                <w:highlight w:val="none"/>
              </w:rPr>
              <w:t>（</w:t>
            </w:r>
            <w:r>
              <w:rPr>
                <w:rFonts w:hint="default" w:ascii="Times New Roman" w:hAnsi="Times New Roman" w:eastAsia="宋体" w:cs="Times New Roman"/>
                <w:b/>
                <w:bCs/>
                <w:color w:val="auto"/>
                <w:kern w:val="0"/>
                <w:sz w:val="24"/>
                <w:szCs w:val="24"/>
                <w:highlight w:val="none"/>
                <w:lang w:val="en-US" w:eastAsia="zh-CN"/>
              </w:rPr>
              <w:t>2</w:t>
            </w:r>
            <w:r>
              <w:rPr>
                <w:rFonts w:hint="default" w:ascii="Times New Roman" w:hAnsi="Times New Roman" w:eastAsia="宋体" w:cs="Times New Roman"/>
                <w:b/>
                <w:bCs/>
                <w:color w:val="auto"/>
                <w:kern w:val="0"/>
                <w:sz w:val="24"/>
                <w:szCs w:val="24"/>
                <w:highlight w:val="none"/>
              </w:rPr>
              <w:t>）颗粒物</w:t>
            </w:r>
          </w:p>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val="0"/>
                <w:bCs w:val="0"/>
                <w:color w:val="auto"/>
                <w:kern w:val="0"/>
                <w:sz w:val="24"/>
                <w:szCs w:val="24"/>
                <w:highlight w:val="none"/>
                <w:lang w:val="en-US" w:eastAsia="zh-CN"/>
              </w:rPr>
              <w:t>根据《排放源统计调查产排污核算方法和系数手册》（公告2021年第24号）--4430工业锅炉（热力供应）行业系数手册--生物质工业锅炉，颗粒物产污系数按0.5千克/吨-原料，</w:t>
            </w:r>
            <w:r>
              <w:rPr>
                <w:rFonts w:hint="default" w:ascii="Times New Roman" w:hAnsi="Times New Roman" w:eastAsia="宋体" w:cs="Times New Roman"/>
                <w:color w:val="auto"/>
                <w:kern w:val="0"/>
                <w:sz w:val="24"/>
                <w:szCs w:val="24"/>
                <w:highlight w:val="none"/>
                <w:lang w:eastAsia="zh-CN"/>
              </w:rPr>
              <w:t>生物质成型燃料</w:t>
            </w:r>
            <w:r>
              <w:rPr>
                <w:rFonts w:hint="default" w:ascii="Times New Roman" w:hAnsi="Times New Roman" w:eastAsia="宋体" w:cs="Times New Roman"/>
                <w:color w:val="auto"/>
                <w:sz w:val="24"/>
                <w:szCs w:val="24"/>
                <w:highlight w:val="none"/>
              </w:rPr>
              <w:t>消耗量为</w:t>
            </w:r>
            <w:r>
              <w:rPr>
                <w:rFonts w:hint="default" w:ascii="Times New Roman" w:hAnsi="Times New Roman" w:eastAsia="宋体" w:cs="Times New Roman"/>
                <w:color w:val="auto"/>
                <w:sz w:val="24"/>
                <w:szCs w:val="24"/>
                <w:highlight w:val="none"/>
                <w:lang w:val="en-US" w:eastAsia="zh-CN"/>
              </w:rPr>
              <w:t>2160</w:t>
            </w:r>
            <w:r>
              <w:rPr>
                <w:rFonts w:hint="default" w:ascii="Times New Roman" w:hAnsi="Times New Roman" w:eastAsia="宋体" w:cs="Times New Roman"/>
                <w:color w:val="auto"/>
                <w:sz w:val="24"/>
                <w:szCs w:val="24"/>
                <w:highlight w:val="none"/>
              </w:rPr>
              <w:t>t/a，则1台</w:t>
            </w:r>
            <w:r>
              <w:rPr>
                <w:rFonts w:hint="default" w:ascii="Times New Roman" w:hAnsi="Times New Roman" w:eastAsia="宋体" w:cs="Times New Roman"/>
                <w:color w:val="auto"/>
                <w:sz w:val="24"/>
                <w:szCs w:val="24"/>
                <w:highlight w:val="none"/>
                <w:lang w:eastAsia="zh-CN"/>
              </w:rPr>
              <w:t>生物质热水锅炉颗粒物产生量为</w:t>
            </w:r>
            <w:r>
              <w:rPr>
                <w:rFonts w:hint="default" w:ascii="Times New Roman" w:hAnsi="Times New Roman" w:eastAsia="宋体" w:cs="Times New Roman"/>
                <w:color w:val="auto"/>
                <w:sz w:val="24"/>
                <w:szCs w:val="24"/>
                <w:highlight w:val="none"/>
                <w:lang w:val="en-US" w:eastAsia="zh-CN"/>
              </w:rPr>
              <w:t>2160t/a</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0.5</w:t>
            </w:r>
            <w:r>
              <w:rPr>
                <w:rFonts w:hint="default" w:ascii="Times New Roman" w:hAnsi="Times New Roman" w:eastAsia="宋体" w:cs="Times New Roman"/>
                <w:color w:val="auto"/>
                <w:sz w:val="24"/>
                <w:szCs w:val="24"/>
                <w:highlight w:val="none"/>
              </w:rPr>
              <w:t>千克/吨-原料</w:t>
            </w:r>
            <w:r>
              <w:rPr>
                <w:rFonts w:hint="default" w:ascii="Times New Roman" w:hAnsi="Times New Roman" w:eastAsia="宋体" w:cs="Times New Roman"/>
                <w:b w:val="0"/>
                <w:bCs w:val="0"/>
                <w:color w:val="auto"/>
                <w:kern w:val="0"/>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1.080t/a，</w:t>
            </w:r>
            <w:r>
              <w:rPr>
                <w:rFonts w:hint="default" w:ascii="Times New Roman" w:hAnsi="Times New Roman" w:eastAsia="宋体" w:cs="Times New Roman"/>
                <w:b w:val="0"/>
                <w:bCs w:val="0"/>
                <w:color w:val="auto"/>
                <w:kern w:val="0"/>
                <w:sz w:val="24"/>
                <w:szCs w:val="24"/>
                <w:highlight w:val="none"/>
                <w:lang w:val="en-US" w:eastAsia="zh-CN"/>
              </w:rPr>
              <w:t>改建项目全</w:t>
            </w:r>
            <w:r>
              <w:rPr>
                <w:rFonts w:hint="default" w:ascii="Times New Roman" w:hAnsi="Times New Roman" w:eastAsia="宋体" w:cs="Times New Roman"/>
                <w:bCs/>
                <w:color w:val="auto"/>
                <w:highlight w:val="none"/>
              </w:rPr>
              <w:t>年工作</w:t>
            </w:r>
            <w:r>
              <w:rPr>
                <w:rFonts w:hint="default" w:ascii="Times New Roman" w:hAnsi="Times New Roman" w:eastAsia="宋体" w:cs="Times New Roman"/>
                <w:bCs/>
                <w:color w:val="auto"/>
                <w:highlight w:val="none"/>
                <w:lang w:val="en-US" w:eastAsia="zh-CN"/>
              </w:rPr>
              <w:t>4320</w:t>
            </w:r>
            <w:r>
              <w:rPr>
                <w:rFonts w:hint="default" w:ascii="Times New Roman" w:hAnsi="Times New Roman" w:eastAsia="宋体" w:cs="Times New Roman"/>
                <w:bCs/>
                <w:color w:val="auto"/>
                <w:highlight w:val="none"/>
              </w:rPr>
              <w:t>h</w:t>
            </w:r>
            <w:r>
              <w:rPr>
                <w:rFonts w:hint="default" w:ascii="Times New Roman" w:hAnsi="Times New Roman" w:eastAsia="宋体" w:cs="Times New Roman"/>
                <w:bCs/>
                <w:color w:val="auto"/>
                <w:highlight w:val="none"/>
                <w:lang w:eastAsia="zh-CN"/>
              </w:rPr>
              <w:t>，则产生速率为</w:t>
            </w:r>
            <w:r>
              <w:rPr>
                <w:rFonts w:hint="default" w:ascii="Times New Roman" w:hAnsi="Times New Roman" w:eastAsia="宋体" w:cs="Times New Roman"/>
                <w:bCs/>
                <w:color w:val="auto"/>
                <w:highlight w:val="none"/>
                <w:lang w:val="en-US" w:eastAsia="zh-CN"/>
              </w:rPr>
              <w:t>0.250kg/h</w:t>
            </w:r>
            <w:r>
              <w:rPr>
                <w:rFonts w:hint="default" w:ascii="Times New Roman" w:hAnsi="Times New Roman" w:eastAsia="宋体" w:cs="Times New Roman"/>
                <w:color w:val="auto"/>
                <w:sz w:val="24"/>
                <w:szCs w:val="24"/>
                <w:highlight w:val="none"/>
                <w:lang w:eastAsia="zh-CN"/>
              </w:rPr>
              <w:t>。</w:t>
            </w:r>
          </w:p>
          <w:p>
            <w:pPr>
              <w:bidi w:val="0"/>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rPr>
              <w:t>废气采用</w:t>
            </w:r>
            <w:r>
              <w:rPr>
                <w:rFonts w:hint="default" w:ascii="Times New Roman" w:hAnsi="Times New Roman" w:eastAsia="宋体" w:cs="Times New Roman"/>
                <w:b w:val="0"/>
                <w:bCs w:val="0"/>
                <w:color w:val="auto"/>
                <w:highlight w:val="none"/>
                <w:lang w:eastAsia="zh-CN"/>
              </w:rPr>
              <w:t>旋风除尘器</w:t>
            </w:r>
            <w:r>
              <w:rPr>
                <w:rFonts w:hint="default" w:ascii="Times New Roman" w:hAnsi="Times New Roman" w:eastAsia="宋体" w:cs="Times New Roman"/>
                <w:b w:val="0"/>
                <w:bCs w:val="0"/>
                <w:color w:val="auto"/>
                <w:highlight w:val="none"/>
              </w:rPr>
              <w:t>+布袋除尘器+</w:t>
            </w:r>
            <w:r>
              <w:rPr>
                <w:rFonts w:hint="default" w:ascii="Times New Roman" w:hAnsi="Times New Roman" w:eastAsia="宋体" w:cs="Times New Roman"/>
                <w:b w:val="0"/>
                <w:bCs w:val="0"/>
                <w:color w:val="auto"/>
                <w:highlight w:val="none"/>
                <w:lang w:eastAsia="zh-CN"/>
              </w:rPr>
              <w:t>双碱法脱硫塔</w:t>
            </w:r>
            <w:r>
              <w:rPr>
                <w:rFonts w:hint="default" w:ascii="Times New Roman" w:hAnsi="Times New Roman" w:eastAsia="宋体" w:cs="Times New Roman"/>
                <w:b w:val="0"/>
                <w:bCs w:val="0"/>
                <w:color w:val="auto"/>
                <w:highlight w:val="none"/>
              </w:rPr>
              <w:t>进行处理，参考《排放源统计调查产排污核算方法和系数手册》（公告2021年第24号）--4430工业锅炉（热力生产和供应行业）产污系数表</w:t>
            </w:r>
            <w:r>
              <w:rPr>
                <w:rFonts w:hint="eastAsia" w:cs="Times New Roman"/>
                <w:b w:val="0"/>
                <w:bCs w:val="0"/>
                <w:color w:val="auto"/>
                <w:highlight w:val="none"/>
                <w:lang w:eastAsia="zh-CN"/>
              </w:rPr>
              <w:t>－</w:t>
            </w:r>
            <w:r>
              <w:rPr>
                <w:rFonts w:hint="default" w:ascii="Times New Roman" w:hAnsi="Times New Roman" w:eastAsia="宋体" w:cs="Times New Roman"/>
                <w:b w:val="0"/>
                <w:bCs w:val="0"/>
                <w:color w:val="auto"/>
                <w:highlight w:val="none"/>
              </w:rPr>
              <w:t>燃煤工业锅炉，旋风除尘法去除效率为70%（本次评价取</w:t>
            </w:r>
            <w:r>
              <w:rPr>
                <w:rFonts w:hint="eastAsia" w:cs="Times New Roman"/>
                <w:b w:val="0"/>
                <w:bCs w:val="0"/>
                <w:color w:val="auto"/>
                <w:highlight w:val="none"/>
                <w:lang w:val="en-US" w:eastAsia="zh-CN"/>
              </w:rPr>
              <w:t>3</w:t>
            </w:r>
            <w:r>
              <w:rPr>
                <w:rFonts w:hint="default" w:ascii="Times New Roman" w:hAnsi="Times New Roman" w:eastAsia="宋体" w:cs="Times New Roman"/>
                <w:b w:val="0"/>
                <w:bCs w:val="0"/>
                <w:color w:val="auto"/>
                <w:highlight w:val="none"/>
              </w:rPr>
              <w:t>0%）、布袋除尘器去除效率为99%（本次评价取</w:t>
            </w:r>
            <w:r>
              <w:rPr>
                <w:rFonts w:hint="eastAsia" w:cs="Times New Roman"/>
                <w:b w:val="0"/>
                <w:bCs w:val="0"/>
                <w:color w:val="auto"/>
                <w:highlight w:val="none"/>
                <w:lang w:val="en-US" w:eastAsia="zh-CN"/>
              </w:rPr>
              <w:t>7</w:t>
            </w:r>
            <w:r>
              <w:rPr>
                <w:rFonts w:hint="default" w:ascii="Times New Roman" w:hAnsi="Times New Roman" w:eastAsia="宋体" w:cs="Times New Roman"/>
                <w:b w:val="0"/>
                <w:bCs w:val="0"/>
                <w:color w:val="auto"/>
                <w:highlight w:val="none"/>
              </w:rPr>
              <w:t>0%）、湿式除尘去除效率为87%（本次评价取</w:t>
            </w:r>
            <w:r>
              <w:rPr>
                <w:rFonts w:hint="eastAsia" w:cs="Times New Roman"/>
                <w:b w:val="0"/>
                <w:bCs w:val="0"/>
                <w:color w:val="auto"/>
                <w:highlight w:val="none"/>
                <w:lang w:val="en-US" w:eastAsia="zh-CN"/>
              </w:rPr>
              <w:t>3</w:t>
            </w:r>
            <w:r>
              <w:rPr>
                <w:rFonts w:hint="default" w:ascii="Times New Roman" w:hAnsi="Times New Roman" w:eastAsia="宋体" w:cs="Times New Roman"/>
                <w:b w:val="0"/>
                <w:bCs w:val="0"/>
                <w:color w:val="auto"/>
                <w:highlight w:val="none"/>
              </w:rPr>
              <w:t>0%）。</w:t>
            </w:r>
          </w:p>
          <w:p>
            <w:pPr>
              <w:bidi w:val="0"/>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rPr>
              <w:t>则1台生物质热水锅炉颗粒物排放量为</w:t>
            </w:r>
            <w:r>
              <w:rPr>
                <w:rFonts w:hint="eastAsia" w:cs="Times New Roman"/>
                <w:b w:val="0"/>
                <w:bCs w:val="0"/>
                <w:color w:val="auto"/>
                <w:highlight w:val="none"/>
                <w:lang w:eastAsia="zh-CN"/>
              </w:rPr>
              <w:t>0.159</w:t>
            </w:r>
            <w:r>
              <w:rPr>
                <w:rFonts w:hint="default" w:ascii="Times New Roman" w:hAnsi="Times New Roman" w:eastAsia="宋体" w:cs="Times New Roman"/>
                <w:b w:val="0"/>
                <w:bCs w:val="0"/>
                <w:color w:val="auto"/>
                <w:highlight w:val="none"/>
              </w:rPr>
              <w:t>t/a</w:t>
            </w:r>
            <w:r>
              <w:rPr>
                <w:rFonts w:hint="default" w:ascii="Times New Roman" w:hAnsi="Times New Roman" w:eastAsia="宋体" w:cs="Times New Roman"/>
                <w:b w:val="0"/>
                <w:bCs w:val="0"/>
                <w:color w:val="auto"/>
                <w:highlight w:val="none"/>
                <w:lang w:eastAsia="zh-CN"/>
              </w:rPr>
              <w:t>，</w:t>
            </w:r>
            <w:r>
              <w:rPr>
                <w:rFonts w:hint="default" w:ascii="Times New Roman" w:hAnsi="Times New Roman" w:eastAsia="宋体" w:cs="Times New Roman"/>
                <w:b w:val="0"/>
                <w:bCs w:val="0"/>
                <w:color w:val="auto"/>
                <w:highlight w:val="none"/>
                <w:lang w:val="en-US" w:eastAsia="zh-CN"/>
              </w:rPr>
              <w:t>排放速率为</w:t>
            </w:r>
            <w:r>
              <w:rPr>
                <w:rFonts w:hint="eastAsia" w:cs="Times New Roman"/>
                <w:b w:val="0"/>
                <w:bCs w:val="0"/>
                <w:color w:val="auto"/>
                <w:highlight w:val="none"/>
                <w:lang w:val="en-US" w:eastAsia="zh-CN"/>
              </w:rPr>
              <w:t>0.037</w:t>
            </w:r>
            <w:r>
              <w:rPr>
                <w:rFonts w:hint="default" w:ascii="Times New Roman" w:hAnsi="Times New Roman" w:eastAsia="宋体" w:cs="Times New Roman"/>
                <w:bCs/>
                <w:color w:val="auto"/>
                <w:highlight w:val="none"/>
                <w:lang w:val="en-US" w:eastAsia="zh-CN"/>
              </w:rPr>
              <w:t>kg/h</w:t>
            </w:r>
            <w:r>
              <w:rPr>
                <w:rFonts w:hint="default" w:ascii="Times New Roman" w:hAnsi="Times New Roman" w:eastAsia="宋体" w:cs="Times New Roman"/>
                <w:b w:val="0"/>
                <w:bCs w:val="0"/>
                <w:color w:val="auto"/>
                <w:highlight w:val="none"/>
              </w:rPr>
              <w:t>。</w:t>
            </w:r>
          </w:p>
          <w:p>
            <w:pPr>
              <w:bidi w:val="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w:t>
            </w:r>
            <w:r>
              <w:rPr>
                <w:rFonts w:hint="default" w:ascii="Times New Roman" w:hAnsi="Times New Roman" w:eastAsia="宋体" w:cs="Times New Roman"/>
                <w:b/>
                <w:bCs/>
                <w:color w:val="auto"/>
                <w:highlight w:val="none"/>
                <w:lang w:val="en-US" w:eastAsia="zh-CN"/>
              </w:rPr>
              <w:t>3</w:t>
            </w:r>
            <w:r>
              <w:rPr>
                <w:rFonts w:hint="default" w:ascii="Times New Roman" w:hAnsi="Times New Roman" w:eastAsia="宋体" w:cs="Times New Roman"/>
                <w:b/>
                <w:bCs/>
                <w:color w:val="auto"/>
                <w:highlight w:val="none"/>
              </w:rPr>
              <w:t>）二氧化硫</w:t>
            </w:r>
          </w:p>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Cs/>
                <w:color w:val="auto"/>
                <w:highlight w:val="none"/>
                <w:lang w:val="en-US" w:eastAsia="zh-CN"/>
              </w:rPr>
            </w:pPr>
            <w:r>
              <w:rPr>
                <w:rFonts w:hint="default" w:ascii="Times New Roman" w:hAnsi="Times New Roman" w:eastAsia="宋体" w:cs="Times New Roman"/>
                <w:b w:val="0"/>
                <w:bCs w:val="0"/>
                <w:color w:val="auto"/>
                <w:kern w:val="0"/>
                <w:sz w:val="24"/>
                <w:szCs w:val="24"/>
                <w:highlight w:val="none"/>
                <w:lang w:val="en-US" w:eastAsia="zh-CN"/>
              </w:rPr>
              <w:t>根据《排放源统计调查产排污核算方法和系数手册》（公告2021年第24号）--4430工业锅炉（热力供应）行业系数手册</w:t>
            </w:r>
            <w:r>
              <w:rPr>
                <w:rFonts w:hint="eastAsia" w:cs="Times New Roman"/>
                <w:b w:val="0"/>
                <w:bCs w:val="0"/>
                <w:color w:val="auto"/>
                <w:kern w:val="0"/>
                <w:sz w:val="24"/>
                <w:szCs w:val="24"/>
                <w:highlight w:val="none"/>
                <w:lang w:val="en-US" w:eastAsia="zh-CN"/>
              </w:rPr>
              <w:t>－－</w:t>
            </w:r>
            <w:r>
              <w:rPr>
                <w:rFonts w:hint="default" w:ascii="Times New Roman" w:hAnsi="Times New Roman" w:eastAsia="宋体" w:cs="Times New Roman"/>
                <w:b w:val="0"/>
                <w:bCs w:val="0"/>
                <w:color w:val="auto"/>
                <w:kern w:val="0"/>
                <w:sz w:val="24"/>
                <w:szCs w:val="24"/>
                <w:highlight w:val="none"/>
                <w:lang w:val="en-US" w:eastAsia="zh-CN"/>
              </w:rPr>
              <w:t>生物质工业锅炉，二氧化硫产污系数按17S千克/吨</w:t>
            </w:r>
            <w:r>
              <w:rPr>
                <w:rFonts w:hint="eastAsia" w:cs="Times New Roman"/>
                <w:b w:val="0"/>
                <w:bCs w:val="0"/>
                <w:color w:val="auto"/>
                <w:kern w:val="0"/>
                <w:sz w:val="24"/>
                <w:szCs w:val="24"/>
                <w:highlight w:val="none"/>
                <w:lang w:val="en-US" w:eastAsia="zh-CN"/>
              </w:rPr>
              <w:t>－</w:t>
            </w:r>
            <w:r>
              <w:rPr>
                <w:rFonts w:hint="default" w:ascii="Times New Roman" w:hAnsi="Times New Roman" w:eastAsia="宋体" w:cs="Times New Roman"/>
                <w:b w:val="0"/>
                <w:bCs w:val="0"/>
                <w:color w:val="auto"/>
                <w:kern w:val="0"/>
                <w:sz w:val="24"/>
                <w:szCs w:val="24"/>
                <w:highlight w:val="none"/>
                <w:lang w:val="en-US" w:eastAsia="zh-CN"/>
              </w:rPr>
              <w:t>原料，改建项目S为</w:t>
            </w:r>
            <w:r>
              <w:rPr>
                <w:rFonts w:hint="eastAsia" w:cs="Times New Roman"/>
                <w:b w:val="0"/>
                <w:bCs w:val="0"/>
                <w:color w:val="auto"/>
                <w:kern w:val="0"/>
                <w:sz w:val="24"/>
                <w:szCs w:val="24"/>
                <w:highlight w:val="none"/>
                <w:lang w:val="en-US" w:eastAsia="zh-CN"/>
              </w:rPr>
              <w:t>0.10</w:t>
            </w:r>
            <w:r>
              <w:rPr>
                <w:rFonts w:hint="default" w:ascii="Times New Roman" w:hAnsi="Times New Roman" w:eastAsia="宋体" w:cs="Times New Roman"/>
                <w:b w:val="0"/>
                <w:bCs w:val="0"/>
                <w:color w:val="auto"/>
                <w:kern w:val="0"/>
                <w:sz w:val="24"/>
                <w:szCs w:val="24"/>
                <w:highlight w:val="none"/>
                <w:lang w:val="en-US" w:eastAsia="zh-CN"/>
              </w:rPr>
              <w:t>。</w:t>
            </w:r>
            <w:r>
              <w:rPr>
                <w:rFonts w:hint="default" w:ascii="Times New Roman" w:hAnsi="Times New Roman" w:eastAsia="宋体" w:cs="Times New Roman"/>
                <w:color w:val="auto"/>
                <w:kern w:val="0"/>
                <w:sz w:val="24"/>
                <w:szCs w:val="24"/>
                <w:highlight w:val="none"/>
                <w:lang w:eastAsia="zh-CN"/>
              </w:rPr>
              <w:t>生物质成型燃料</w:t>
            </w:r>
            <w:r>
              <w:rPr>
                <w:rFonts w:hint="default" w:ascii="Times New Roman" w:hAnsi="Times New Roman" w:eastAsia="宋体" w:cs="Times New Roman"/>
                <w:color w:val="auto"/>
                <w:sz w:val="24"/>
                <w:szCs w:val="24"/>
                <w:highlight w:val="none"/>
              </w:rPr>
              <w:t>消耗量为</w:t>
            </w:r>
            <w:r>
              <w:rPr>
                <w:rFonts w:hint="default" w:ascii="Times New Roman" w:hAnsi="Times New Roman" w:eastAsia="宋体" w:cs="Times New Roman"/>
                <w:color w:val="auto"/>
                <w:sz w:val="24"/>
                <w:szCs w:val="24"/>
                <w:highlight w:val="none"/>
                <w:lang w:val="en-US" w:eastAsia="zh-CN"/>
              </w:rPr>
              <w:t>2160</w:t>
            </w:r>
            <w:r>
              <w:rPr>
                <w:rFonts w:hint="default" w:ascii="Times New Roman" w:hAnsi="Times New Roman" w:eastAsia="宋体" w:cs="Times New Roman"/>
                <w:color w:val="auto"/>
                <w:sz w:val="24"/>
                <w:szCs w:val="24"/>
                <w:highlight w:val="none"/>
              </w:rPr>
              <w:t>t/a，则1台</w:t>
            </w:r>
            <w:r>
              <w:rPr>
                <w:rFonts w:hint="default" w:ascii="Times New Roman" w:hAnsi="Times New Roman" w:eastAsia="宋体" w:cs="Times New Roman"/>
                <w:color w:val="auto"/>
                <w:sz w:val="24"/>
                <w:szCs w:val="24"/>
                <w:highlight w:val="none"/>
                <w:lang w:eastAsia="zh-CN"/>
              </w:rPr>
              <w:t>生物质热水锅炉</w:t>
            </w:r>
            <w:r>
              <w:rPr>
                <w:rFonts w:hint="default" w:ascii="Times New Roman" w:hAnsi="Times New Roman" w:eastAsia="宋体" w:cs="Times New Roman"/>
                <w:b w:val="0"/>
                <w:bCs w:val="0"/>
                <w:color w:val="auto"/>
                <w:kern w:val="0"/>
                <w:sz w:val="24"/>
                <w:szCs w:val="24"/>
                <w:highlight w:val="none"/>
                <w:lang w:val="en-US" w:eastAsia="zh-CN"/>
              </w:rPr>
              <w:t>二氧化硫产生量为2160t/a</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b w:val="0"/>
                <w:bCs w:val="0"/>
                <w:color w:val="auto"/>
                <w:kern w:val="0"/>
                <w:sz w:val="24"/>
                <w:szCs w:val="24"/>
                <w:highlight w:val="none"/>
                <w:lang w:val="en-US" w:eastAsia="zh-CN"/>
              </w:rPr>
              <w:t>17</w:t>
            </w:r>
            <w:r>
              <w:rPr>
                <w:rFonts w:hint="default" w:ascii="Times New Roman" w:hAnsi="Times New Roman" w:eastAsia="宋体" w:cs="Times New Roman"/>
                <w:color w:val="auto"/>
                <w:sz w:val="24"/>
                <w:szCs w:val="24"/>
                <w:highlight w:val="none"/>
              </w:rPr>
              <w:t>×</w:t>
            </w:r>
            <w:r>
              <w:rPr>
                <w:rFonts w:hint="eastAsia" w:cs="Times New Roman"/>
                <w:color w:val="auto"/>
                <w:sz w:val="24"/>
                <w:szCs w:val="24"/>
                <w:highlight w:val="none"/>
                <w:lang w:val="en-US" w:eastAsia="zh-CN"/>
              </w:rPr>
              <w:t>0.10</w:t>
            </w:r>
            <w:r>
              <w:rPr>
                <w:rFonts w:hint="default" w:ascii="Times New Roman" w:hAnsi="Times New Roman" w:eastAsia="宋体" w:cs="Times New Roman"/>
                <w:b w:val="0"/>
                <w:bCs w:val="0"/>
                <w:color w:val="auto"/>
                <w:kern w:val="0"/>
                <w:sz w:val="24"/>
                <w:szCs w:val="24"/>
                <w:highlight w:val="none"/>
                <w:lang w:val="en-US" w:eastAsia="zh-CN"/>
              </w:rPr>
              <w:t>千克/吨-原料=</w:t>
            </w:r>
            <w:r>
              <w:rPr>
                <w:rFonts w:hint="eastAsia" w:cs="Times New Roman"/>
                <w:b w:val="0"/>
                <w:bCs w:val="0"/>
                <w:color w:val="auto"/>
                <w:kern w:val="0"/>
                <w:sz w:val="24"/>
                <w:szCs w:val="24"/>
                <w:highlight w:val="none"/>
                <w:lang w:val="en-US" w:eastAsia="zh-CN"/>
              </w:rPr>
              <w:t>3.672</w:t>
            </w:r>
            <w:r>
              <w:rPr>
                <w:rFonts w:hint="default" w:ascii="Times New Roman" w:hAnsi="Times New Roman" w:eastAsia="宋体" w:cs="Times New Roman"/>
                <w:color w:val="auto"/>
                <w:sz w:val="24"/>
                <w:szCs w:val="24"/>
                <w:highlight w:val="none"/>
                <w:lang w:val="en-US" w:eastAsia="zh-CN"/>
              </w:rPr>
              <w:t>t/a，</w:t>
            </w:r>
            <w:r>
              <w:rPr>
                <w:rFonts w:hint="default" w:ascii="Times New Roman" w:hAnsi="Times New Roman" w:eastAsia="宋体" w:cs="Times New Roman"/>
                <w:b w:val="0"/>
                <w:bCs w:val="0"/>
                <w:color w:val="auto"/>
                <w:kern w:val="0"/>
                <w:sz w:val="24"/>
                <w:szCs w:val="24"/>
                <w:highlight w:val="none"/>
                <w:lang w:val="en-US" w:eastAsia="zh-CN"/>
              </w:rPr>
              <w:t>改建项目全</w:t>
            </w:r>
            <w:r>
              <w:rPr>
                <w:rFonts w:hint="default" w:ascii="Times New Roman" w:hAnsi="Times New Roman" w:eastAsia="宋体" w:cs="Times New Roman"/>
                <w:bCs/>
                <w:color w:val="auto"/>
                <w:highlight w:val="none"/>
              </w:rPr>
              <w:t>年工作</w:t>
            </w:r>
            <w:r>
              <w:rPr>
                <w:rFonts w:hint="default" w:ascii="Times New Roman" w:hAnsi="Times New Roman" w:eastAsia="宋体" w:cs="Times New Roman"/>
                <w:bCs/>
                <w:color w:val="auto"/>
                <w:highlight w:val="none"/>
                <w:lang w:val="en-US" w:eastAsia="zh-CN"/>
              </w:rPr>
              <w:t>4320</w:t>
            </w:r>
            <w:r>
              <w:rPr>
                <w:rFonts w:hint="default" w:ascii="Times New Roman" w:hAnsi="Times New Roman" w:eastAsia="宋体" w:cs="Times New Roman"/>
                <w:bCs/>
                <w:color w:val="auto"/>
                <w:highlight w:val="none"/>
              </w:rPr>
              <w:t>h</w:t>
            </w:r>
            <w:r>
              <w:rPr>
                <w:rFonts w:hint="default" w:ascii="Times New Roman" w:hAnsi="Times New Roman" w:eastAsia="宋体" w:cs="Times New Roman"/>
                <w:bCs/>
                <w:color w:val="auto"/>
                <w:highlight w:val="none"/>
                <w:lang w:eastAsia="zh-CN"/>
              </w:rPr>
              <w:t>，则产生速率为</w:t>
            </w:r>
            <w:r>
              <w:rPr>
                <w:rFonts w:hint="eastAsia" w:cs="Times New Roman"/>
                <w:bCs/>
                <w:color w:val="auto"/>
                <w:highlight w:val="none"/>
                <w:lang w:val="en-US" w:eastAsia="zh-CN"/>
              </w:rPr>
              <w:t>0.850</w:t>
            </w:r>
            <w:r>
              <w:rPr>
                <w:rFonts w:hint="default" w:ascii="Times New Roman" w:hAnsi="Times New Roman" w:eastAsia="宋体" w:cs="Times New Roman"/>
                <w:bCs/>
                <w:color w:val="auto"/>
                <w:highlight w:val="none"/>
                <w:lang w:val="en-US" w:eastAsia="zh-CN"/>
              </w:rPr>
              <w:t>kg/h。</w:t>
            </w:r>
          </w:p>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Cs/>
                <w:color w:val="auto"/>
                <w:highlight w:val="none"/>
                <w:lang w:val="en-US" w:eastAsia="zh-CN"/>
              </w:rPr>
            </w:pPr>
            <w:r>
              <w:rPr>
                <w:rFonts w:hint="default" w:ascii="Times New Roman" w:hAnsi="Times New Roman" w:eastAsia="宋体" w:cs="Times New Roman"/>
                <w:b w:val="0"/>
                <w:bCs w:val="0"/>
                <w:color w:val="auto"/>
                <w:highlight w:val="none"/>
              </w:rPr>
              <w:t>废气采用</w:t>
            </w:r>
            <w:r>
              <w:rPr>
                <w:rFonts w:hint="default" w:ascii="Times New Roman" w:hAnsi="Times New Roman" w:eastAsia="宋体" w:cs="Times New Roman"/>
                <w:b w:val="0"/>
                <w:bCs w:val="0"/>
                <w:color w:val="auto"/>
                <w:highlight w:val="none"/>
                <w:lang w:eastAsia="zh-CN"/>
              </w:rPr>
              <w:t>旋风除尘器</w:t>
            </w:r>
            <w:r>
              <w:rPr>
                <w:rFonts w:hint="default" w:ascii="Times New Roman" w:hAnsi="Times New Roman" w:eastAsia="宋体" w:cs="Times New Roman"/>
                <w:b w:val="0"/>
                <w:bCs w:val="0"/>
                <w:color w:val="auto"/>
                <w:highlight w:val="none"/>
              </w:rPr>
              <w:t>+布袋除尘器+</w:t>
            </w:r>
            <w:r>
              <w:rPr>
                <w:rFonts w:hint="default" w:ascii="Times New Roman" w:hAnsi="Times New Roman" w:eastAsia="宋体" w:cs="Times New Roman"/>
                <w:b w:val="0"/>
                <w:bCs w:val="0"/>
                <w:color w:val="auto"/>
                <w:highlight w:val="none"/>
                <w:lang w:eastAsia="zh-CN"/>
              </w:rPr>
              <w:t>双碱法脱硫塔</w:t>
            </w:r>
            <w:r>
              <w:rPr>
                <w:rFonts w:hint="default" w:ascii="Times New Roman" w:hAnsi="Times New Roman" w:eastAsia="宋体" w:cs="Times New Roman"/>
                <w:b w:val="0"/>
                <w:bCs w:val="0"/>
                <w:color w:val="auto"/>
                <w:highlight w:val="none"/>
              </w:rPr>
              <w:t>进行处理，参考《排放源统计调查产排污核算方法和系数手册》（公告2021年第24号）--4430工业锅炉（热力生产和供应行业）产污系数表</w:t>
            </w:r>
            <w:r>
              <w:rPr>
                <w:rFonts w:hint="eastAsia" w:cs="Times New Roman"/>
                <w:b w:val="0"/>
                <w:bCs w:val="0"/>
                <w:color w:val="auto"/>
                <w:highlight w:val="none"/>
                <w:lang w:eastAsia="zh-CN"/>
              </w:rPr>
              <w:t>－</w:t>
            </w:r>
            <w:r>
              <w:rPr>
                <w:rFonts w:hint="default" w:ascii="Times New Roman" w:hAnsi="Times New Roman" w:eastAsia="宋体" w:cs="Times New Roman"/>
                <w:b w:val="0"/>
                <w:bCs w:val="0"/>
                <w:color w:val="auto"/>
                <w:highlight w:val="none"/>
              </w:rPr>
              <w:t>燃煤工业锅炉，</w:t>
            </w:r>
            <w:r>
              <w:rPr>
                <w:rFonts w:hint="default" w:ascii="Times New Roman" w:hAnsi="Times New Roman" w:eastAsia="宋体" w:cs="Times New Roman"/>
                <w:b w:val="0"/>
                <w:bCs w:val="0"/>
                <w:color w:val="auto"/>
                <w:highlight w:val="none"/>
                <w:lang w:val="en-US" w:eastAsia="zh-CN"/>
              </w:rPr>
              <w:t>双</w:t>
            </w:r>
            <w:r>
              <w:rPr>
                <w:rFonts w:hint="default" w:ascii="Times New Roman" w:hAnsi="Times New Roman" w:eastAsia="宋体" w:cs="Times New Roman"/>
                <w:b w:val="0"/>
                <w:bCs w:val="0"/>
                <w:color w:val="auto"/>
                <w:highlight w:val="none"/>
              </w:rPr>
              <w:t>碱法脱硫效率为92.5%（本次评价取</w:t>
            </w:r>
            <w:r>
              <w:rPr>
                <w:rFonts w:hint="eastAsia" w:cs="Times New Roman"/>
                <w:b w:val="0"/>
                <w:bCs w:val="0"/>
                <w:color w:val="auto"/>
                <w:highlight w:val="none"/>
                <w:lang w:val="en-US" w:eastAsia="zh-CN"/>
              </w:rPr>
              <w:t>5</w:t>
            </w:r>
            <w:r>
              <w:rPr>
                <w:rFonts w:hint="default" w:ascii="Times New Roman" w:hAnsi="Times New Roman" w:eastAsia="宋体" w:cs="Times New Roman"/>
                <w:b w:val="0"/>
                <w:bCs w:val="0"/>
                <w:color w:val="auto"/>
                <w:highlight w:val="none"/>
              </w:rPr>
              <w:t>0%）。</w:t>
            </w:r>
          </w:p>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Cs/>
                <w:color w:val="auto"/>
                <w:highlight w:val="none"/>
                <w:lang w:val="en-US" w:eastAsia="zh-CN"/>
              </w:rPr>
            </w:pPr>
            <w:r>
              <w:rPr>
                <w:rFonts w:hint="default" w:ascii="Times New Roman" w:hAnsi="Times New Roman" w:eastAsia="宋体" w:cs="Times New Roman"/>
                <w:bCs/>
                <w:color w:val="auto"/>
                <w:highlight w:val="none"/>
                <w:lang w:val="en-US" w:eastAsia="zh-CN"/>
              </w:rPr>
              <w:t>则1台生物质热水锅炉二氧化硫排放量为</w:t>
            </w:r>
            <w:r>
              <w:rPr>
                <w:rFonts w:hint="eastAsia" w:cs="Times New Roman"/>
                <w:bCs/>
                <w:color w:val="auto"/>
                <w:highlight w:val="none"/>
                <w:lang w:val="en-US" w:eastAsia="zh-CN"/>
              </w:rPr>
              <w:t>1.836</w:t>
            </w:r>
            <w:r>
              <w:rPr>
                <w:rFonts w:hint="default" w:ascii="Times New Roman" w:hAnsi="Times New Roman" w:eastAsia="宋体" w:cs="Times New Roman"/>
                <w:bCs/>
                <w:color w:val="auto"/>
                <w:highlight w:val="none"/>
                <w:lang w:val="en-US" w:eastAsia="zh-CN"/>
              </w:rPr>
              <w:t>t/a</w:t>
            </w:r>
            <w:r>
              <w:rPr>
                <w:rFonts w:hint="default" w:ascii="Times New Roman" w:hAnsi="Times New Roman" w:eastAsia="宋体" w:cs="Times New Roman"/>
                <w:b w:val="0"/>
                <w:bCs w:val="0"/>
                <w:color w:val="auto"/>
                <w:highlight w:val="none"/>
                <w:lang w:eastAsia="zh-CN"/>
              </w:rPr>
              <w:t>，</w:t>
            </w:r>
            <w:r>
              <w:rPr>
                <w:rFonts w:hint="default" w:ascii="Times New Roman" w:hAnsi="Times New Roman" w:eastAsia="宋体" w:cs="Times New Roman"/>
                <w:b w:val="0"/>
                <w:bCs w:val="0"/>
                <w:color w:val="auto"/>
                <w:highlight w:val="none"/>
                <w:lang w:val="en-US" w:eastAsia="zh-CN"/>
              </w:rPr>
              <w:t>排放速率为</w:t>
            </w:r>
            <w:r>
              <w:rPr>
                <w:rFonts w:hint="eastAsia" w:cs="Times New Roman"/>
                <w:b w:val="0"/>
                <w:bCs w:val="0"/>
                <w:color w:val="auto"/>
                <w:highlight w:val="none"/>
                <w:lang w:val="en-US" w:eastAsia="zh-CN"/>
              </w:rPr>
              <w:t>0.425</w:t>
            </w:r>
            <w:r>
              <w:rPr>
                <w:rFonts w:hint="default" w:ascii="Times New Roman" w:hAnsi="Times New Roman" w:eastAsia="宋体" w:cs="Times New Roman"/>
                <w:bCs/>
                <w:color w:val="auto"/>
                <w:highlight w:val="none"/>
                <w:lang w:val="en-US" w:eastAsia="zh-CN"/>
              </w:rPr>
              <w:t>kg/h。</w:t>
            </w:r>
          </w:p>
          <w:p>
            <w:pPr>
              <w:keepNext w:val="0"/>
              <w:keepLines w:val="0"/>
              <w:pageBreakBefore w:val="0"/>
              <w:suppressLineNumbers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sz w:val="24"/>
                <w:szCs w:val="24"/>
                <w:highlight w:val="none"/>
              </w:rPr>
              <w:t>（</w:t>
            </w:r>
            <w:r>
              <w:rPr>
                <w:rFonts w:hint="default"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rPr>
              <w:t>）氮氧化物</w:t>
            </w:r>
          </w:p>
          <w:p>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kern w:val="0"/>
                <w:sz w:val="24"/>
                <w:szCs w:val="24"/>
                <w:highlight w:val="none"/>
                <w:lang w:val="en-US" w:eastAsia="zh-CN"/>
              </w:rPr>
              <w:t>根据《排放源统计调查产排污核算方法和系数手册》（公告2021年第24号）--4430工业锅炉（热力供应）行业系数手册</w:t>
            </w:r>
            <w:r>
              <w:rPr>
                <w:rFonts w:hint="eastAsia" w:cs="Times New Roman"/>
                <w:b w:val="0"/>
                <w:bCs w:val="0"/>
                <w:color w:val="auto"/>
                <w:kern w:val="0"/>
                <w:sz w:val="24"/>
                <w:szCs w:val="24"/>
                <w:highlight w:val="none"/>
                <w:lang w:val="en-US" w:eastAsia="zh-CN"/>
              </w:rPr>
              <w:t>－－</w:t>
            </w:r>
            <w:r>
              <w:rPr>
                <w:rFonts w:hint="default" w:ascii="Times New Roman" w:hAnsi="Times New Roman" w:eastAsia="宋体" w:cs="Times New Roman"/>
                <w:b w:val="0"/>
                <w:bCs w:val="0"/>
                <w:color w:val="auto"/>
                <w:kern w:val="0"/>
                <w:sz w:val="24"/>
                <w:szCs w:val="24"/>
                <w:highlight w:val="none"/>
                <w:lang w:val="en-US" w:eastAsia="zh-CN"/>
              </w:rPr>
              <w:t>生物质工业锅炉，</w:t>
            </w:r>
            <w:r>
              <w:rPr>
                <w:rFonts w:hint="default" w:ascii="Times New Roman" w:hAnsi="Times New Roman" w:eastAsia="宋体" w:cs="Times New Roman"/>
                <w:b w:val="0"/>
                <w:bCs w:val="0"/>
                <w:color w:val="auto"/>
                <w:sz w:val="24"/>
                <w:szCs w:val="24"/>
                <w:highlight w:val="none"/>
              </w:rPr>
              <w:t>氮氧化物</w:t>
            </w:r>
            <w:r>
              <w:rPr>
                <w:rFonts w:hint="default" w:ascii="Times New Roman" w:hAnsi="Times New Roman" w:eastAsia="宋体" w:cs="Times New Roman"/>
                <w:b w:val="0"/>
                <w:bCs w:val="0"/>
                <w:color w:val="auto"/>
                <w:kern w:val="0"/>
                <w:sz w:val="24"/>
                <w:szCs w:val="24"/>
                <w:highlight w:val="none"/>
                <w:lang w:val="en-US" w:eastAsia="zh-CN"/>
              </w:rPr>
              <w:t>产污系数按1.02千克/吨</w:t>
            </w:r>
            <w:r>
              <w:rPr>
                <w:rFonts w:hint="eastAsia" w:cs="Times New Roman"/>
                <w:b w:val="0"/>
                <w:bCs w:val="0"/>
                <w:color w:val="auto"/>
                <w:kern w:val="0"/>
                <w:sz w:val="24"/>
                <w:szCs w:val="24"/>
                <w:highlight w:val="none"/>
                <w:lang w:val="en-US" w:eastAsia="zh-CN"/>
              </w:rPr>
              <w:t>－</w:t>
            </w:r>
            <w:r>
              <w:rPr>
                <w:rFonts w:hint="default" w:ascii="Times New Roman" w:hAnsi="Times New Roman" w:eastAsia="宋体" w:cs="Times New Roman"/>
                <w:b w:val="0"/>
                <w:bCs w:val="0"/>
                <w:color w:val="auto"/>
                <w:kern w:val="0"/>
                <w:sz w:val="24"/>
                <w:szCs w:val="24"/>
                <w:highlight w:val="none"/>
                <w:lang w:val="en-US" w:eastAsia="zh-CN"/>
              </w:rPr>
              <w:t>原料。</w:t>
            </w:r>
            <w:r>
              <w:rPr>
                <w:rFonts w:hint="default" w:ascii="Times New Roman" w:hAnsi="Times New Roman" w:eastAsia="宋体" w:cs="Times New Roman"/>
                <w:color w:val="auto"/>
                <w:kern w:val="0"/>
                <w:sz w:val="24"/>
                <w:szCs w:val="24"/>
                <w:highlight w:val="none"/>
                <w:lang w:eastAsia="zh-CN"/>
              </w:rPr>
              <w:t>生物质成型燃料</w:t>
            </w:r>
            <w:r>
              <w:rPr>
                <w:rFonts w:hint="default" w:ascii="Times New Roman" w:hAnsi="Times New Roman" w:eastAsia="宋体" w:cs="Times New Roman"/>
                <w:color w:val="auto"/>
                <w:sz w:val="24"/>
                <w:szCs w:val="24"/>
                <w:highlight w:val="none"/>
              </w:rPr>
              <w:t>消耗量为</w:t>
            </w:r>
            <w:r>
              <w:rPr>
                <w:rFonts w:hint="default" w:ascii="Times New Roman" w:hAnsi="Times New Roman" w:eastAsia="宋体" w:cs="Times New Roman"/>
                <w:color w:val="auto"/>
                <w:sz w:val="24"/>
                <w:szCs w:val="24"/>
                <w:highlight w:val="none"/>
                <w:lang w:val="en-US" w:eastAsia="zh-CN"/>
              </w:rPr>
              <w:t>2160</w:t>
            </w:r>
            <w:r>
              <w:rPr>
                <w:rFonts w:hint="default" w:ascii="Times New Roman" w:hAnsi="Times New Roman" w:eastAsia="宋体" w:cs="Times New Roman"/>
                <w:color w:val="auto"/>
                <w:sz w:val="24"/>
                <w:szCs w:val="24"/>
                <w:highlight w:val="none"/>
              </w:rPr>
              <w:t>t/a</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b w:val="0"/>
                <w:bCs w:val="0"/>
                <w:color w:val="auto"/>
                <w:kern w:val="0"/>
                <w:sz w:val="24"/>
                <w:szCs w:val="24"/>
                <w:highlight w:val="none"/>
                <w:lang w:val="en-US" w:eastAsia="zh-CN"/>
              </w:rPr>
              <w:t>则1台生物质热水锅炉</w:t>
            </w:r>
            <w:r>
              <w:rPr>
                <w:rFonts w:hint="default" w:ascii="Times New Roman" w:hAnsi="Times New Roman" w:eastAsia="宋体" w:cs="Times New Roman"/>
                <w:b w:val="0"/>
                <w:bCs w:val="0"/>
                <w:color w:val="auto"/>
                <w:sz w:val="24"/>
                <w:szCs w:val="24"/>
                <w:highlight w:val="none"/>
              </w:rPr>
              <w:t>氮氧化物</w:t>
            </w:r>
            <w:r>
              <w:rPr>
                <w:rFonts w:hint="default" w:ascii="Times New Roman" w:hAnsi="Times New Roman" w:eastAsia="宋体" w:cs="Times New Roman"/>
                <w:b w:val="0"/>
                <w:bCs w:val="0"/>
                <w:color w:val="auto"/>
                <w:kern w:val="0"/>
                <w:sz w:val="24"/>
                <w:szCs w:val="24"/>
                <w:highlight w:val="none"/>
                <w:lang w:val="en-US" w:eastAsia="zh-CN"/>
              </w:rPr>
              <w:t>产生量为</w:t>
            </w:r>
            <w:r>
              <w:rPr>
                <w:rFonts w:hint="default" w:ascii="Times New Roman" w:hAnsi="Times New Roman" w:eastAsia="宋体" w:cs="Times New Roman"/>
                <w:color w:val="auto"/>
                <w:sz w:val="24"/>
                <w:szCs w:val="24"/>
                <w:highlight w:val="none"/>
                <w:lang w:val="en-US" w:eastAsia="zh-CN"/>
              </w:rPr>
              <w:t>2160</w:t>
            </w:r>
            <w:r>
              <w:rPr>
                <w:rFonts w:hint="default" w:ascii="Times New Roman" w:hAnsi="Times New Roman" w:eastAsia="宋体" w:cs="Times New Roman"/>
                <w:b w:val="0"/>
                <w:bCs w:val="0"/>
                <w:color w:val="auto"/>
                <w:kern w:val="0"/>
                <w:sz w:val="24"/>
                <w:szCs w:val="24"/>
                <w:highlight w:val="none"/>
                <w:lang w:val="en-US" w:eastAsia="zh-CN"/>
              </w:rPr>
              <w:t>t/a</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b w:val="0"/>
                <w:bCs w:val="0"/>
                <w:color w:val="auto"/>
                <w:kern w:val="0"/>
                <w:sz w:val="24"/>
                <w:szCs w:val="24"/>
                <w:highlight w:val="none"/>
                <w:lang w:val="en-US" w:eastAsia="zh-CN"/>
              </w:rPr>
              <w:t>1.02千克/吨-原料=2.203</w:t>
            </w:r>
            <w:r>
              <w:rPr>
                <w:rFonts w:hint="default" w:ascii="Times New Roman" w:hAnsi="Times New Roman" w:eastAsia="宋体" w:cs="Times New Roman"/>
                <w:b w:val="0"/>
                <w:bCs w:val="0"/>
                <w:color w:val="auto"/>
                <w:sz w:val="24"/>
                <w:szCs w:val="24"/>
                <w:highlight w:val="none"/>
                <w:lang w:val="en-US" w:eastAsia="zh-CN"/>
              </w:rPr>
              <w:t>t/a</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b w:val="0"/>
                <w:bCs w:val="0"/>
                <w:color w:val="auto"/>
                <w:kern w:val="0"/>
                <w:sz w:val="24"/>
                <w:szCs w:val="24"/>
                <w:highlight w:val="none"/>
                <w:lang w:val="en-US" w:eastAsia="zh-CN"/>
              </w:rPr>
              <w:t>改建项目全</w:t>
            </w:r>
            <w:r>
              <w:rPr>
                <w:rFonts w:hint="default" w:ascii="Times New Roman" w:hAnsi="Times New Roman" w:eastAsia="宋体" w:cs="Times New Roman"/>
                <w:bCs/>
                <w:color w:val="auto"/>
                <w:highlight w:val="none"/>
              </w:rPr>
              <w:t>年工作</w:t>
            </w:r>
            <w:r>
              <w:rPr>
                <w:rFonts w:hint="default" w:ascii="Times New Roman" w:hAnsi="Times New Roman" w:eastAsia="宋体" w:cs="Times New Roman"/>
                <w:bCs/>
                <w:color w:val="auto"/>
                <w:highlight w:val="none"/>
                <w:lang w:val="en-US" w:eastAsia="zh-CN"/>
              </w:rPr>
              <w:t>4320</w:t>
            </w:r>
            <w:r>
              <w:rPr>
                <w:rFonts w:hint="default" w:ascii="Times New Roman" w:hAnsi="Times New Roman" w:eastAsia="宋体" w:cs="Times New Roman"/>
                <w:bCs/>
                <w:color w:val="auto"/>
                <w:highlight w:val="none"/>
              </w:rPr>
              <w:t>h</w:t>
            </w:r>
            <w:r>
              <w:rPr>
                <w:rFonts w:hint="default" w:ascii="Times New Roman" w:hAnsi="Times New Roman" w:eastAsia="宋体" w:cs="Times New Roman"/>
                <w:bCs/>
                <w:color w:val="auto"/>
                <w:highlight w:val="none"/>
                <w:lang w:eastAsia="zh-CN"/>
              </w:rPr>
              <w:t>，则产生速率为</w:t>
            </w:r>
            <w:r>
              <w:rPr>
                <w:rFonts w:hint="default" w:ascii="Times New Roman" w:hAnsi="Times New Roman" w:eastAsia="宋体" w:cs="Times New Roman"/>
                <w:bCs/>
                <w:color w:val="auto"/>
                <w:highlight w:val="none"/>
                <w:lang w:val="en-US" w:eastAsia="zh-CN"/>
              </w:rPr>
              <w:t>0.510kg/h</w:t>
            </w:r>
            <w:r>
              <w:rPr>
                <w:rFonts w:hint="default" w:ascii="Times New Roman" w:hAnsi="Times New Roman" w:eastAsia="宋体" w:cs="Times New Roman"/>
                <w:b w:val="0"/>
                <w:bCs w:val="0"/>
                <w:color w:val="auto"/>
                <w:sz w:val="24"/>
                <w:szCs w:val="24"/>
                <w:highlight w:val="none"/>
                <w:lang w:val="en-US" w:eastAsia="zh-CN"/>
              </w:rPr>
              <w:t>。</w:t>
            </w:r>
          </w:p>
          <w:p>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1台生物质热水锅炉</w:t>
            </w:r>
            <w:r>
              <w:rPr>
                <w:rFonts w:hint="default" w:ascii="Times New Roman" w:hAnsi="Times New Roman" w:eastAsia="宋体" w:cs="Times New Roman"/>
                <w:bCs/>
                <w:color w:val="auto"/>
                <w:sz w:val="24"/>
                <w:szCs w:val="24"/>
                <w:highlight w:val="none"/>
              </w:rPr>
              <w:t>氮氧化物</w:t>
            </w:r>
            <w:r>
              <w:rPr>
                <w:rFonts w:hint="default" w:ascii="Times New Roman" w:hAnsi="Times New Roman" w:eastAsia="宋体" w:cs="Times New Roman"/>
                <w:color w:val="auto"/>
                <w:sz w:val="24"/>
                <w:szCs w:val="24"/>
                <w:highlight w:val="none"/>
              </w:rPr>
              <w:t>排放量为</w:t>
            </w:r>
            <w:r>
              <w:rPr>
                <w:rFonts w:hint="default" w:ascii="Times New Roman" w:hAnsi="Times New Roman" w:eastAsia="宋体" w:cs="Times New Roman"/>
                <w:b w:val="0"/>
                <w:bCs w:val="0"/>
                <w:color w:val="auto"/>
                <w:kern w:val="0"/>
                <w:sz w:val="24"/>
                <w:szCs w:val="24"/>
                <w:highlight w:val="none"/>
                <w:lang w:val="en-US" w:eastAsia="zh-CN"/>
              </w:rPr>
              <w:t>2.203</w:t>
            </w:r>
            <w:r>
              <w:rPr>
                <w:rFonts w:hint="default" w:ascii="Times New Roman" w:hAnsi="Times New Roman" w:eastAsia="宋体" w:cs="Times New Roman"/>
                <w:color w:val="auto"/>
                <w:sz w:val="24"/>
                <w:szCs w:val="24"/>
                <w:highlight w:val="none"/>
                <w:lang w:val="en-US" w:eastAsia="zh-CN"/>
              </w:rPr>
              <w:t>t/a，</w:t>
            </w:r>
            <w:r>
              <w:rPr>
                <w:rFonts w:hint="default" w:ascii="Times New Roman" w:hAnsi="Times New Roman" w:eastAsia="宋体" w:cs="Times New Roman"/>
                <w:color w:val="auto"/>
                <w:sz w:val="24"/>
                <w:szCs w:val="24"/>
                <w:highlight w:val="none"/>
              </w:rPr>
              <w:t>排放</w:t>
            </w:r>
            <w:r>
              <w:rPr>
                <w:rFonts w:hint="default" w:ascii="Times New Roman" w:hAnsi="Times New Roman" w:eastAsia="宋体" w:cs="Times New Roman"/>
                <w:bCs/>
                <w:color w:val="auto"/>
                <w:highlight w:val="none"/>
                <w:lang w:eastAsia="zh-CN"/>
              </w:rPr>
              <w:t>速率为</w:t>
            </w:r>
            <w:r>
              <w:rPr>
                <w:rFonts w:hint="default" w:ascii="Times New Roman" w:hAnsi="Times New Roman" w:eastAsia="宋体" w:cs="Times New Roman"/>
                <w:bCs/>
                <w:color w:val="auto"/>
                <w:highlight w:val="none"/>
                <w:lang w:val="en-US" w:eastAsia="zh-CN"/>
              </w:rPr>
              <w:t>0.510kg/h</w:t>
            </w:r>
            <w:r>
              <w:rPr>
                <w:rFonts w:hint="default" w:ascii="Times New Roman" w:hAnsi="Times New Roman" w:eastAsia="宋体" w:cs="Times New Roman"/>
                <w:color w:val="auto"/>
                <w:sz w:val="24"/>
                <w:szCs w:val="24"/>
                <w:highlight w:val="none"/>
              </w:rPr>
              <w:t>。</w:t>
            </w:r>
          </w:p>
          <w:p>
            <w:pPr>
              <w:keepNext w:val="0"/>
              <w:keepLines w:val="0"/>
              <w:pageBreakBefore w:val="0"/>
              <w:suppressLineNumbers w:val="0"/>
              <w:kinsoku/>
              <w:wordWrap/>
              <w:overflowPunct/>
              <w:topLinePunct w:val="0"/>
              <w:autoSpaceDE/>
              <w:autoSpaceDN/>
              <w:bidi w:val="0"/>
              <w:adjustRightInd/>
              <w:snapToGrid/>
              <w:spacing w:beforeAutospacing="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w:t>
            </w:r>
            <w:r>
              <w:rPr>
                <w:rFonts w:hint="default" w:ascii="Times New Roman" w:hAnsi="Times New Roman" w:eastAsia="宋体" w:cs="Times New Roman"/>
                <w:b/>
                <w:bCs/>
                <w:color w:val="auto"/>
                <w:sz w:val="24"/>
                <w:szCs w:val="24"/>
                <w:highlight w:val="none"/>
                <w:lang w:val="en-US" w:eastAsia="zh-CN"/>
              </w:rPr>
              <w:t>5</w:t>
            </w:r>
            <w:r>
              <w:rPr>
                <w:rFonts w:hint="default" w:ascii="Times New Roman" w:hAnsi="Times New Roman" w:eastAsia="宋体" w:cs="Times New Roman"/>
                <w:b/>
                <w:bCs/>
                <w:color w:val="auto"/>
                <w:sz w:val="24"/>
                <w:szCs w:val="24"/>
                <w:highlight w:val="none"/>
              </w:rPr>
              <w:t>）汞及其化合物</w:t>
            </w:r>
          </w:p>
          <w:p>
            <w:pPr>
              <w:keepNext w:val="0"/>
              <w:keepLines w:val="0"/>
              <w:pageBreakBefore w:val="0"/>
              <w:suppressLineNumbers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w:t>
            </w:r>
            <w:r>
              <w:rPr>
                <w:rFonts w:hint="eastAsia" w:cs="Times New Roman"/>
                <w:color w:val="auto"/>
                <w:sz w:val="24"/>
                <w:szCs w:val="24"/>
                <w:highlight w:val="none"/>
                <w:lang w:eastAsia="zh-CN"/>
              </w:rPr>
              <w:t>污染源源强核算技术指南  锅炉</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HJ991-2018</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汞及其化合物排放量采用物料衡算法计算，计算公式：</w:t>
            </w:r>
          </w:p>
          <w:p>
            <w:pPr>
              <w:keepNext w:val="0"/>
              <w:keepLines w:val="0"/>
              <w:pageBreakBefore w:val="0"/>
              <w:suppressLineNumbers w:val="0"/>
              <w:kinsoku/>
              <w:wordWrap/>
              <w:overflowPunct/>
              <w:topLinePunct w:val="0"/>
              <w:autoSpaceDE/>
              <w:autoSpaceDN/>
              <w:bidi w:val="0"/>
              <w:adjustRightInd/>
              <w:snapToGrid/>
              <w:spacing w:beforeAutospacing="0" w:afterAutospacing="0" w:line="360" w:lineRule="auto"/>
              <w:ind w:left="0" w:leftChars="0" w:right="0" w:rightChars="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drawing>
                <wp:inline distT="0" distB="0" distL="114300" distR="114300">
                  <wp:extent cx="5256530" cy="2051050"/>
                  <wp:effectExtent l="0" t="0" r="1270" b="6350"/>
                  <wp:docPr id="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2"/>
                          <pic:cNvPicPr>
                            <a:picLocks noChangeAspect="1"/>
                          </pic:cNvPicPr>
                        </pic:nvPicPr>
                        <pic:blipFill>
                          <a:blip r:embed="rId16"/>
                          <a:stretch>
                            <a:fillRect/>
                          </a:stretch>
                        </pic:blipFill>
                        <pic:spPr>
                          <a:xfrm>
                            <a:off x="0" y="0"/>
                            <a:ext cx="5256530" cy="2051050"/>
                          </a:xfrm>
                          <a:prstGeom prst="rect">
                            <a:avLst/>
                          </a:prstGeom>
                          <a:noFill/>
                          <a:ln>
                            <a:noFill/>
                          </a:ln>
                        </pic:spPr>
                      </pic:pic>
                    </a:graphicData>
                  </a:graphic>
                </wp:inline>
              </w:drawing>
            </w:r>
          </w:p>
          <w:p>
            <w:pPr>
              <w:keepNext w:val="0"/>
              <w:keepLines w:val="0"/>
              <w:pageBreakBefore w:val="0"/>
              <w:suppressLineNumbers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查阅相关文献《中国农村地区</w:t>
            </w:r>
            <w:r>
              <w:rPr>
                <w:rFonts w:hint="default" w:ascii="Times New Roman" w:hAnsi="Times New Roman" w:eastAsia="宋体" w:cs="Times New Roman"/>
                <w:color w:val="auto"/>
                <w:sz w:val="24"/>
                <w:szCs w:val="24"/>
                <w:highlight w:val="none"/>
                <w:lang w:eastAsia="zh-CN"/>
              </w:rPr>
              <w:t>生物质成型燃料</w:t>
            </w:r>
            <w:r>
              <w:rPr>
                <w:rFonts w:hint="default" w:ascii="Times New Roman" w:hAnsi="Times New Roman" w:eastAsia="宋体" w:cs="Times New Roman"/>
                <w:color w:val="auto"/>
                <w:sz w:val="24"/>
                <w:szCs w:val="24"/>
                <w:highlight w:val="none"/>
              </w:rPr>
              <w:t>燃烧的汞排放研究》，</w:t>
            </w:r>
            <w:r>
              <w:rPr>
                <w:rFonts w:hint="default" w:ascii="Times New Roman" w:hAnsi="Times New Roman" w:eastAsia="宋体" w:cs="Times New Roman"/>
                <w:color w:val="auto"/>
                <w:sz w:val="24"/>
                <w:szCs w:val="24"/>
                <w:highlight w:val="none"/>
                <w:lang w:eastAsia="zh-CN"/>
              </w:rPr>
              <w:t>生物质成型燃料</w:t>
            </w:r>
            <w:r>
              <w:rPr>
                <w:rFonts w:hint="default" w:ascii="Times New Roman" w:hAnsi="Times New Roman" w:eastAsia="宋体" w:cs="Times New Roman"/>
                <w:color w:val="auto"/>
                <w:sz w:val="24"/>
                <w:szCs w:val="24"/>
                <w:highlight w:val="none"/>
              </w:rPr>
              <w:t>汞及其化合物的平均含量为11.60ng/g。</w:t>
            </w:r>
          </w:p>
          <w:p>
            <w:pPr>
              <w:keepNext w:val="0"/>
              <w:keepLines w:val="0"/>
              <w:pageBreakBefore w:val="0"/>
              <w:suppressLineNumbers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eastAsia="zh-CN"/>
              </w:rPr>
              <w:t>改建项目生物质成型燃料</w:t>
            </w:r>
            <w:r>
              <w:rPr>
                <w:rFonts w:hint="default" w:ascii="Times New Roman" w:hAnsi="Times New Roman" w:eastAsia="宋体" w:cs="Times New Roman"/>
                <w:color w:val="auto"/>
                <w:sz w:val="24"/>
                <w:szCs w:val="24"/>
                <w:highlight w:val="none"/>
              </w:rPr>
              <w:t>消耗量为</w:t>
            </w:r>
            <w:r>
              <w:rPr>
                <w:rFonts w:hint="default" w:ascii="Times New Roman" w:hAnsi="Times New Roman" w:eastAsia="宋体" w:cs="Times New Roman"/>
                <w:color w:val="auto"/>
                <w:sz w:val="24"/>
                <w:szCs w:val="24"/>
                <w:highlight w:val="none"/>
                <w:lang w:val="en-US" w:eastAsia="zh-CN"/>
              </w:rPr>
              <w:t>2160</w:t>
            </w:r>
            <w:r>
              <w:rPr>
                <w:rFonts w:hint="default" w:ascii="Times New Roman" w:hAnsi="Times New Roman" w:eastAsia="宋体" w:cs="Times New Roman"/>
                <w:color w:val="auto"/>
                <w:sz w:val="24"/>
                <w:szCs w:val="24"/>
                <w:highlight w:val="none"/>
              </w:rPr>
              <w:t>t/a</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b w:val="0"/>
                <w:bCs w:val="0"/>
                <w:color w:val="auto"/>
                <w:kern w:val="0"/>
                <w:sz w:val="24"/>
                <w:szCs w:val="24"/>
                <w:highlight w:val="none"/>
                <w:lang w:val="en-US" w:eastAsia="zh-CN"/>
              </w:rPr>
              <w:t>则1台生物质热水锅炉</w:t>
            </w:r>
            <w:r>
              <w:rPr>
                <w:rFonts w:hint="default" w:ascii="Times New Roman" w:hAnsi="Times New Roman" w:eastAsia="宋体" w:cs="Times New Roman"/>
                <w:color w:val="auto"/>
                <w:sz w:val="24"/>
                <w:szCs w:val="24"/>
                <w:highlight w:val="none"/>
              </w:rPr>
              <w:t>汞及其化合物产生量=</w:t>
            </w:r>
            <w:r>
              <w:rPr>
                <w:rFonts w:hint="default" w:ascii="Times New Roman" w:hAnsi="Times New Roman" w:eastAsia="宋体" w:cs="Times New Roman"/>
                <w:color w:val="auto"/>
                <w:sz w:val="24"/>
                <w:szCs w:val="24"/>
                <w:highlight w:val="none"/>
                <w:lang w:val="en-US" w:eastAsia="zh-CN"/>
              </w:rPr>
              <w:t>2160t/a</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11.60ng</w:t>
            </w:r>
            <w:r>
              <w:rPr>
                <w:rFonts w:hint="default" w:ascii="Times New Roman" w:hAnsi="Times New Roman" w:eastAsia="宋体" w:cs="Times New Roman"/>
                <w:color w:val="auto"/>
                <w:sz w:val="24"/>
                <w:szCs w:val="24"/>
                <w:highlight w:val="none"/>
              </w:rPr>
              <w:t>/g×</w:t>
            </w:r>
            <w:r>
              <w:rPr>
                <w:rFonts w:hint="default"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vertAlign w:val="superscript"/>
                <w:lang w:val="en-US" w:eastAsia="zh-CN"/>
              </w:rPr>
              <w:t>-6</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b w:val="0"/>
                <w:bCs w:val="0"/>
                <w:color w:val="auto"/>
                <w:sz w:val="24"/>
                <w:szCs w:val="24"/>
                <w:highlight w:val="none"/>
                <w:lang w:val="en-US" w:eastAsia="zh-CN"/>
              </w:rPr>
              <w:t>0.000025t/a</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b w:val="0"/>
                <w:bCs w:val="0"/>
                <w:color w:val="auto"/>
                <w:kern w:val="0"/>
                <w:sz w:val="24"/>
                <w:szCs w:val="24"/>
                <w:highlight w:val="none"/>
                <w:lang w:val="en-US" w:eastAsia="zh-CN"/>
              </w:rPr>
              <w:t>改建项目全</w:t>
            </w:r>
            <w:r>
              <w:rPr>
                <w:rFonts w:hint="default" w:ascii="Times New Roman" w:hAnsi="Times New Roman" w:eastAsia="宋体" w:cs="Times New Roman"/>
                <w:bCs/>
                <w:color w:val="auto"/>
                <w:highlight w:val="none"/>
              </w:rPr>
              <w:t>年工作</w:t>
            </w:r>
            <w:r>
              <w:rPr>
                <w:rFonts w:hint="default" w:ascii="Times New Roman" w:hAnsi="Times New Roman" w:eastAsia="宋体" w:cs="Times New Roman"/>
                <w:bCs/>
                <w:color w:val="auto"/>
                <w:highlight w:val="none"/>
                <w:lang w:val="en-US" w:eastAsia="zh-CN"/>
              </w:rPr>
              <w:t>4320</w:t>
            </w:r>
            <w:r>
              <w:rPr>
                <w:rFonts w:hint="default" w:ascii="Times New Roman" w:hAnsi="Times New Roman" w:eastAsia="宋体" w:cs="Times New Roman"/>
                <w:bCs/>
                <w:color w:val="auto"/>
                <w:highlight w:val="none"/>
              </w:rPr>
              <w:t>h</w:t>
            </w:r>
            <w:r>
              <w:rPr>
                <w:rFonts w:hint="default" w:ascii="Times New Roman" w:hAnsi="Times New Roman" w:eastAsia="宋体" w:cs="Times New Roman"/>
                <w:bCs/>
                <w:color w:val="auto"/>
                <w:highlight w:val="none"/>
                <w:lang w:eastAsia="zh-CN"/>
              </w:rPr>
              <w:t>，则产生速率为</w:t>
            </w:r>
            <w:r>
              <w:rPr>
                <w:rFonts w:hint="default" w:ascii="Times New Roman" w:hAnsi="Times New Roman" w:eastAsia="宋体" w:cs="Times New Roman"/>
                <w:bCs/>
                <w:color w:val="auto"/>
                <w:highlight w:val="none"/>
                <w:lang w:val="en-US" w:eastAsia="zh-CN"/>
              </w:rPr>
              <w:t>0.0000058kg/h</w:t>
            </w:r>
            <w:r>
              <w:rPr>
                <w:rFonts w:hint="default" w:ascii="Times New Roman" w:hAnsi="Times New Roman" w:eastAsia="宋体" w:cs="Times New Roman"/>
                <w:color w:val="auto"/>
                <w:sz w:val="24"/>
                <w:szCs w:val="24"/>
                <w:highlight w:val="none"/>
              </w:rPr>
              <w:t>。</w:t>
            </w:r>
          </w:p>
          <w:p>
            <w:pPr>
              <w:keepNext w:val="0"/>
              <w:keepLines w:val="0"/>
              <w:pageBreakBefore w:val="0"/>
              <w:suppressLineNumbers w:val="0"/>
              <w:kinsoku/>
              <w:wordWrap/>
              <w:overflowPunct/>
              <w:bidi w:val="0"/>
              <w:spacing w:before="0" w:beforeAutospacing="0" w:after="0" w:afterAutospacing="0" w:line="360" w:lineRule="auto"/>
              <w:ind w:left="0" w:leftChars="0" w:right="0" w:rightChars="0"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b w:val="0"/>
                <w:bCs w:val="0"/>
                <w:color w:val="auto"/>
                <w:highlight w:val="none"/>
              </w:rPr>
              <w:t>废气采用</w:t>
            </w:r>
            <w:r>
              <w:rPr>
                <w:rFonts w:hint="default" w:ascii="Times New Roman" w:hAnsi="Times New Roman" w:eastAsia="宋体" w:cs="Times New Roman"/>
                <w:b w:val="0"/>
                <w:bCs w:val="0"/>
                <w:color w:val="auto"/>
                <w:highlight w:val="none"/>
                <w:lang w:eastAsia="zh-CN"/>
              </w:rPr>
              <w:t>旋风除尘器</w:t>
            </w:r>
            <w:r>
              <w:rPr>
                <w:rFonts w:hint="default" w:ascii="Times New Roman" w:hAnsi="Times New Roman" w:eastAsia="宋体" w:cs="Times New Roman"/>
                <w:b w:val="0"/>
                <w:bCs w:val="0"/>
                <w:color w:val="auto"/>
                <w:highlight w:val="none"/>
              </w:rPr>
              <w:t>+布袋除尘器+</w:t>
            </w:r>
            <w:r>
              <w:rPr>
                <w:rFonts w:hint="default" w:ascii="Times New Roman" w:hAnsi="Times New Roman" w:eastAsia="宋体" w:cs="Times New Roman"/>
                <w:b w:val="0"/>
                <w:bCs w:val="0"/>
                <w:color w:val="auto"/>
                <w:highlight w:val="none"/>
                <w:lang w:eastAsia="zh-CN"/>
              </w:rPr>
              <w:t>双碱法脱硫塔</w:t>
            </w:r>
            <w:r>
              <w:rPr>
                <w:rFonts w:hint="default" w:ascii="Times New Roman" w:hAnsi="Times New Roman" w:eastAsia="宋体" w:cs="Times New Roman"/>
                <w:b w:val="0"/>
                <w:bCs w:val="0"/>
                <w:color w:val="auto"/>
                <w:highlight w:val="none"/>
              </w:rPr>
              <w:t>进行处理，参考《排放源统计调查产排污核算方法和系数手册》（公告2021年第24号）--4430工业锅炉（热力生产和供应行业）产污系数表</w:t>
            </w:r>
            <w:r>
              <w:rPr>
                <w:rFonts w:hint="eastAsia" w:cs="Times New Roman"/>
                <w:b w:val="0"/>
                <w:bCs w:val="0"/>
                <w:color w:val="auto"/>
                <w:highlight w:val="none"/>
                <w:lang w:eastAsia="zh-CN"/>
              </w:rPr>
              <w:t>－</w:t>
            </w:r>
            <w:r>
              <w:rPr>
                <w:rFonts w:hint="default" w:ascii="Times New Roman" w:hAnsi="Times New Roman" w:eastAsia="宋体" w:cs="Times New Roman"/>
                <w:b w:val="0"/>
                <w:bCs w:val="0"/>
                <w:color w:val="auto"/>
                <w:highlight w:val="none"/>
              </w:rPr>
              <w:t>燃煤工业锅炉，</w:t>
            </w:r>
            <w:r>
              <w:rPr>
                <w:rFonts w:hint="default" w:ascii="Times New Roman" w:hAnsi="Times New Roman" w:eastAsia="宋体" w:cs="Times New Roman"/>
                <w:color w:val="auto"/>
                <w:sz w:val="24"/>
                <w:szCs w:val="24"/>
                <w:highlight w:val="none"/>
              </w:rPr>
              <w:t>烟气除尘和湿法脱硫等污染防治对汞及其化合物具有协同</w:t>
            </w:r>
            <w:r>
              <w:rPr>
                <w:rFonts w:hint="eastAsia" w:cs="Times New Roman"/>
                <w:color w:val="auto"/>
                <w:sz w:val="24"/>
                <w:szCs w:val="24"/>
                <w:highlight w:val="none"/>
                <w:lang w:eastAsia="zh-CN"/>
              </w:rPr>
              <w:t>脱除</w:t>
            </w:r>
            <w:r>
              <w:rPr>
                <w:rFonts w:hint="default" w:ascii="Times New Roman" w:hAnsi="Times New Roman" w:eastAsia="宋体" w:cs="Times New Roman"/>
                <w:color w:val="auto"/>
                <w:sz w:val="24"/>
                <w:szCs w:val="24"/>
                <w:highlight w:val="none"/>
              </w:rPr>
              <w:t>效果，脱除效率约为70%，</w:t>
            </w:r>
            <w:r>
              <w:rPr>
                <w:rFonts w:hint="default" w:ascii="Times New Roman" w:hAnsi="Times New Roman" w:eastAsia="宋体" w:cs="Times New Roman"/>
                <w:color w:val="auto"/>
                <w:sz w:val="24"/>
                <w:szCs w:val="24"/>
                <w:highlight w:val="none"/>
                <w:lang w:eastAsia="zh-CN"/>
              </w:rPr>
              <w:t>改建项目</w:t>
            </w:r>
            <w:r>
              <w:rPr>
                <w:rFonts w:hint="default" w:ascii="Times New Roman" w:hAnsi="Times New Roman" w:eastAsia="宋体" w:cs="Times New Roman"/>
                <w:color w:val="auto"/>
                <w:sz w:val="24"/>
                <w:szCs w:val="24"/>
                <w:highlight w:val="none"/>
              </w:rPr>
              <w:t>取30%</w:t>
            </w:r>
            <w:r>
              <w:rPr>
                <w:rFonts w:hint="default" w:ascii="Times New Roman" w:hAnsi="Times New Roman" w:eastAsia="宋体" w:cs="Times New Roman"/>
                <w:color w:val="auto"/>
                <w:sz w:val="24"/>
                <w:szCs w:val="24"/>
                <w:highlight w:val="none"/>
                <w:lang w:eastAsia="zh-CN"/>
              </w:rPr>
              <w:t>。</w:t>
            </w:r>
          </w:p>
          <w:p>
            <w:pPr>
              <w:keepNext w:val="0"/>
              <w:keepLines w:val="0"/>
              <w:pageBreakBefore w:val="0"/>
              <w:suppressLineNumbers w:val="0"/>
              <w:kinsoku/>
              <w:wordWrap/>
              <w:overflowPunct/>
              <w:bidi w:val="0"/>
              <w:spacing w:before="0" w:beforeAutospacing="0" w:after="0" w:afterAutospacing="0"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则</w:t>
            </w:r>
            <w:r>
              <w:rPr>
                <w:rFonts w:hint="default" w:ascii="Times New Roman" w:hAnsi="Times New Roman" w:eastAsia="宋体" w:cs="Times New Roman"/>
                <w:color w:val="auto"/>
                <w:sz w:val="24"/>
                <w:szCs w:val="24"/>
                <w:highlight w:val="none"/>
              </w:rPr>
              <w:t>1台生物质热水锅炉汞及其化合物排放量为0.00001</w:t>
            </w:r>
            <w:r>
              <w:rPr>
                <w:rFonts w:hint="default" w:ascii="Times New Roman" w:hAnsi="Times New Roman" w:eastAsia="宋体"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rPr>
              <w:t>t/a</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排放</w:t>
            </w:r>
            <w:r>
              <w:rPr>
                <w:rFonts w:hint="default" w:ascii="Times New Roman" w:hAnsi="Times New Roman" w:eastAsia="宋体" w:cs="Times New Roman"/>
                <w:bCs/>
                <w:color w:val="auto"/>
                <w:highlight w:val="none"/>
                <w:lang w:eastAsia="zh-CN"/>
              </w:rPr>
              <w:t>速率为</w:t>
            </w:r>
            <w:r>
              <w:rPr>
                <w:rFonts w:hint="default" w:ascii="Times New Roman" w:hAnsi="Times New Roman" w:eastAsia="宋体" w:cs="Times New Roman"/>
                <w:bCs/>
                <w:color w:val="auto"/>
                <w:highlight w:val="none"/>
                <w:lang w:val="en-US" w:eastAsia="zh-CN"/>
              </w:rPr>
              <w:t>0.0000042kg/h</w:t>
            </w:r>
            <w:r>
              <w:rPr>
                <w:rFonts w:hint="default" w:ascii="Times New Roman" w:hAnsi="Times New Roman" w:eastAsia="宋体" w:cs="Times New Roman"/>
                <w:color w:val="auto"/>
                <w:sz w:val="24"/>
                <w:szCs w:val="24"/>
                <w:highlight w:val="none"/>
              </w:rPr>
              <w:t>。</w:t>
            </w:r>
          </w:p>
          <w:p>
            <w:pPr>
              <w:keepNext w:val="0"/>
              <w:keepLines w:val="0"/>
              <w:pageBreakBefore w:val="0"/>
              <w:suppressLineNumbers w:val="0"/>
              <w:kinsoku/>
              <w:wordWrap/>
              <w:overflowPunct/>
              <w:bidi w:val="0"/>
              <w:spacing w:before="0" w:beforeAutospacing="0" w:after="0" w:afterAutospacing="0"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1台</w:t>
            </w:r>
            <w:r>
              <w:rPr>
                <w:rFonts w:hint="default" w:ascii="Times New Roman" w:hAnsi="Times New Roman" w:eastAsia="宋体" w:cs="Times New Roman"/>
                <w:color w:val="auto"/>
                <w:sz w:val="24"/>
                <w:szCs w:val="24"/>
                <w:highlight w:val="none"/>
                <w:lang w:eastAsia="zh-CN"/>
              </w:rPr>
              <w:t>生物质热水锅炉</w:t>
            </w:r>
            <w:r>
              <w:rPr>
                <w:rFonts w:hint="default" w:ascii="Times New Roman" w:hAnsi="Times New Roman" w:eastAsia="宋体" w:cs="Times New Roman"/>
                <w:color w:val="auto"/>
                <w:sz w:val="24"/>
                <w:szCs w:val="24"/>
                <w:highlight w:val="none"/>
              </w:rPr>
              <w:t>废气产排情况如下表4-</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w:t>
            </w:r>
          </w:p>
          <w:p>
            <w:pPr>
              <w:keepNext w:val="0"/>
              <w:keepLines w:val="0"/>
              <w:pageBreakBefore w:val="0"/>
              <w:suppressLineNumbers w:val="0"/>
              <w:kinsoku/>
              <w:wordWrap/>
              <w:overflowPunct/>
              <w:bidi w:val="0"/>
              <w:spacing w:before="0" w:beforeAutospacing="0" w:after="0" w:afterAutospacing="0" w:line="360" w:lineRule="auto"/>
              <w:ind w:left="0" w:leftChars="0" w:right="0" w:rightChars="0" w:firstLine="482" w:firstLineChars="20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szCs w:val="24"/>
                <w:highlight w:val="none"/>
              </w:rPr>
              <w:t>表4-</w:t>
            </w:r>
            <w:r>
              <w:rPr>
                <w:rFonts w:hint="default" w:ascii="Times New Roman" w:hAnsi="Times New Roman" w:eastAsia="宋体" w:cs="Times New Roman"/>
                <w:b/>
                <w:bCs/>
                <w:color w:val="auto"/>
                <w:sz w:val="24"/>
                <w:szCs w:val="24"/>
                <w:highlight w:val="none"/>
                <w:lang w:val="en-US" w:eastAsia="zh-CN"/>
              </w:rPr>
              <w:t>2  生物质热水锅炉</w:t>
            </w:r>
            <w:r>
              <w:rPr>
                <w:rFonts w:hint="default" w:ascii="Times New Roman" w:hAnsi="Times New Roman" w:eastAsia="宋体" w:cs="Times New Roman"/>
                <w:b/>
                <w:bCs/>
                <w:color w:val="auto"/>
                <w:sz w:val="24"/>
                <w:szCs w:val="24"/>
                <w:highlight w:val="none"/>
              </w:rPr>
              <w:t>废气产生及排放情况</w:t>
            </w:r>
          </w:p>
          <w:tbl>
            <w:tblPr>
              <w:tblStyle w:val="19"/>
              <w:tblW w:w="81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5"/>
              <w:gridCol w:w="745"/>
              <w:gridCol w:w="840"/>
              <w:gridCol w:w="747"/>
              <w:gridCol w:w="747"/>
              <w:gridCol w:w="747"/>
              <w:gridCol w:w="840"/>
              <w:gridCol w:w="900"/>
              <w:gridCol w:w="755"/>
              <w:gridCol w:w="10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Merge w:val="restart"/>
                  <w:vAlign w:val="center"/>
                </w:tcPr>
                <w:p>
                  <w:pPr>
                    <w:pStyle w:val="2"/>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污染物</w:t>
                  </w:r>
                </w:p>
              </w:tc>
              <w:tc>
                <w:tcPr>
                  <w:tcW w:w="745" w:type="dxa"/>
                  <w:vMerge w:val="restart"/>
                  <w:vAlign w:val="center"/>
                </w:tcPr>
                <w:p>
                  <w:pPr>
                    <w:pStyle w:val="2"/>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废气量m</w:t>
                  </w:r>
                  <w:r>
                    <w:rPr>
                      <w:rFonts w:hint="default" w:ascii="Times New Roman" w:hAnsi="Times New Roman" w:eastAsia="宋体" w:cs="Times New Roman"/>
                      <w:color w:val="0000FF"/>
                      <w:sz w:val="21"/>
                      <w:szCs w:val="21"/>
                      <w:highlight w:val="none"/>
                      <w:vertAlign w:val="superscript"/>
                    </w:rPr>
                    <w:t>3</w:t>
                  </w:r>
                  <w:r>
                    <w:rPr>
                      <w:rFonts w:hint="default" w:ascii="Times New Roman" w:hAnsi="Times New Roman" w:eastAsia="宋体" w:cs="Times New Roman"/>
                      <w:color w:val="0000FF"/>
                      <w:sz w:val="21"/>
                      <w:szCs w:val="21"/>
                      <w:highlight w:val="none"/>
                    </w:rPr>
                    <w:t>/h</w:t>
                  </w:r>
                </w:p>
              </w:tc>
              <w:tc>
                <w:tcPr>
                  <w:tcW w:w="2334" w:type="dxa"/>
                  <w:gridSpan w:val="3"/>
                  <w:vAlign w:val="center"/>
                </w:tcPr>
                <w:p>
                  <w:pPr>
                    <w:pStyle w:val="2"/>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产生</w:t>
                  </w:r>
                </w:p>
              </w:tc>
              <w:tc>
                <w:tcPr>
                  <w:tcW w:w="747" w:type="dxa"/>
                  <w:vMerge w:val="restart"/>
                  <w:vAlign w:val="center"/>
                </w:tcPr>
                <w:p>
                  <w:pPr>
                    <w:pStyle w:val="2"/>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治理措施</w:t>
                  </w:r>
                </w:p>
              </w:tc>
              <w:tc>
                <w:tcPr>
                  <w:tcW w:w="2495" w:type="dxa"/>
                  <w:gridSpan w:val="3"/>
                  <w:vAlign w:val="center"/>
                </w:tcPr>
                <w:p>
                  <w:pPr>
                    <w:pStyle w:val="2"/>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排放</w:t>
                  </w:r>
                </w:p>
              </w:tc>
              <w:tc>
                <w:tcPr>
                  <w:tcW w:w="1041" w:type="dxa"/>
                  <w:vMerge w:val="restart"/>
                  <w:vAlign w:val="center"/>
                </w:tcPr>
                <w:p>
                  <w:pPr>
                    <w:pStyle w:val="2"/>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排放限值mg/m</w:t>
                  </w:r>
                  <w:r>
                    <w:rPr>
                      <w:rFonts w:hint="default" w:ascii="Times New Roman" w:hAnsi="Times New Roman" w:eastAsia="宋体" w:cs="Times New Roman"/>
                      <w:color w:val="0000FF"/>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Merge w:val="continue"/>
                  <w:vAlign w:val="center"/>
                </w:tcPr>
                <w:p>
                  <w:pPr>
                    <w:pStyle w:val="2"/>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p>
              </w:tc>
              <w:tc>
                <w:tcPr>
                  <w:tcW w:w="745" w:type="dxa"/>
                  <w:vMerge w:val="continue"/>
                  <w:vAlign w:val="center"/>
                </w:tcPr>
                <w:p>
                  <w:pPr>
                    <w:pStyle w:val="2"/>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p>
              </w:tc>
              <w:tc>
                <w:tcPr>
                  <w:tcW w:w="840" w:type="dxa"/>
                  <w:vAlign w:val="center"/>
                </w:tcPr>
                <w:p>
                  <w:pPr>
                    <w:pStyle w:val="2"/>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产生浓度mg/m</w:t>
                  </w:r>
                  <w:r>
                    <w:rPr>
                      <w:rFonts w:hint="default" w:ascii="Times New Roman" w:hAnsi="Times New Roman" w:eastAsia="宋体" w:cs="Times New Roman"/>
                      <w:color w:val="0000FF"/>
                      <w:sz w:val="21"/>
                      <w:szCs w:val="21"/>
                      <w:highlight w:val="none"/>
                      <w:vertAlign w:val="superscript"/>
                    </w:rPr>
                    <w:t>3</w:t>
                  </w:r>
                </w:p>
              </w:tc>
              <w:tc>
                <w:tcPr>
                  <w:tcW w:w="747" w:type="dxa"/>
                  <w:vAlign w:val="center"/>
                </w:tcPr>
                <w:p>
                  <w:pPr>
                    <w:pStyle w:val="2"/>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产生速率kg/h</w:t>
                  </w:r>
                </w:p>
              </w:tc>
              <w:tc>
                <w:tcPr>
                  <w:tcW w:w="747" w:type="dxa"/>
                  <w:vAlign w:val="center"/>
                </w:tcPr>
                <w:p>
                  <w:pPr>
                    <w:pStyle w:val="2"/>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产生量t/a</w:t>
                  </w:r>
                </w:p>
              </w:tc>
              <w:tc>
                <w:tcPr>
                  <w:tcW w:w="747" w:type="dxa"/>
                  <w:vMerge w:val="continue"/>
                  <w:vAlign w:val="center"/>
                </w:tcPr>
                <w:p>
                  <w:pPr>
                    <w:pStyle w:val="2"/>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p>
              </w:tc>
              <w:tc>
                <w:tcPr>
                  <w:tcW w:w="840" w:type="dxa"/>
                  <w:vAlign w:val="center"/>
                </w:tcPr>
                <w:p>
                  <w:pPr>
                    <w:pStyle w:val="2"/>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排放浓度mg/m</w:t>
                  </w:r>
                  <w:r>
                    <w:rPr>
                      <w:rFonts w:hint="default" w:ascii="Times New Roman" w:hAnsi="Times New Roman" w:eastAsia="宋体" w:cs="Times New Roman"/>
                      <w:color w:val="0000FF"/>
                      <w:sz w:val="21"/>
                      <w:szCs w:val="21"/>
                      <w:highlight w:val="none"/>
                      <w:vertAlign w:val="superscript"/>
                    </w:rPr>
                    <w:t>3</w:t>
                  </w:r>
                </w:p>
              </w:tc>
              <w:tc>
                <w:tcPr>
                  <w:tcW w:w="900" w:type="dxa"/>
                  <w:vAlign w:val="center"/>
                </w:tcPr>
                <w:p>
                  <w:pPr>
                    <w:pStyle w:val="2"/>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排放速率kg/h</w:t>
                  </w:r>
                </w:p>
              </w:tc>
              <w:tc>
                <w:tcPr>
                  <w:tcW w:w="755" w:type="dxa"/>
                  <w:vAlign w:val="center"/>
                </w:tcPr>
                <w:p>
                  <w:pPr>
                    <w:pStyle w:val="2"/>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排放量t/a</w:t>
                  </w:r>
                </w:p>
              </w:tc>
              <w:tc>
                <w:tcPr>
                  <w:tcW w:w="1041" w:type="dxa"/>
                  <w:vMerge w:val="continue"/>
                  <w:vAlign w:val="center"/>
                </w:tcPr>
                <w:p>
                  <w:pPr>
                    <w:pStyle w:val="2"/>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Align w:val="center"/>
                </w:tcPr>
                <w:p>
                  <w:pPr>
                    <w:pStyle w:val="2"/>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颗粒物</w:t>
                  </w:r>
                </w:p>
              </w:tc>
              <w:tc>
                <w:tcPr>
                  <w:tcW w:w="745" w:type="dxa"/>
                  <w:vMerge w:val="restart"/>
                  <w:vAlign w:val="center"/>
                </w:tcPr>
                <w:p>
                  <w:pPr>
                    <w:pStyle w:val="2"/>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b w:val="0"/>
                      <w:bCs w:val="0"/>
                      <w:color w:val="0000FF"/>
                      <w:sz w:val="21"/>
                      <w:szCs w:val="21"/>
                      <w:highlight w:val="none"/>
                      <w:lang w:eastAsia="zh-CN"/>
                    </w:rPr>
                    <w:t>3120</w:t>
                  </w:r>
                </w:p>
              </w:tc>
              <w:tc>
                <w:tcPr>
                  <w:tcW w:w="840"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default" w:ascii="Times New Roman" w:hAnsi="Times New Roman" w:eastAsia="宋体" w:cs="Times New Roman"/>
                      <w:bCs/>
                      <w:color w:val="0000FF"/>
                      <w:spacing w:val="0"/>
                      <w:sz w:val="21"/>
                      <w:szCs w:val="21"/>
                      <w:highlight w:val="none"/>
                      <w:lang w:val="en-US" w:eastAsia="zh-CN"/>
                    </w:rPr>
                    <w:t>80.1</w:t>
                  </w:r>
                </w:p>
              </w:tc>
              <w:tc>
                <w:tcPr>
                  <w:tcW w:w="747"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default" w:ascii="Times New Roman" w:hAnsi="Times New Roman" w:eastAsia="宋体" w:cs="Times New Roman"/>
                      <w:bCs/>
                      <w:color w:val="0000FF"/>
                      <w:spacing w:val="0"/>
                      <w:sz w:val="21"/>
                      <w:szCs w:val="21"/>
                      <w:highlight w:val="none"/>
                      <w:lang w:val="en-US" w:eastAsia="zh-CN"/>
                    </w:rPr>
                    <w:t>0.250</w:t>
                  </w:r>
                </w:p>
              </w:tc>
              <w:tc>
                <w:tcPr>
                  <w:tcW w:w="747"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default" w:ascii="Times New Roman" w:hAnsi="Times New Roman" w:eastAsia="宋体" w:cs="Times New Roman"/>
                      <w:bCs/>
                      <w:color w:val="0000FF"/>
                      <w:spacing w:val="0"/>
                      <w:sz w:val="21"/>
                      <w:szCs w:val="21"/>
                      <w:highlight w:val="none"/>
                      <w:lang w:val="en-US" w:eastAsia="zh-CN"/>
                    </w:rPr>
                    <w:t>1.080</w:t>
                  </w:r>
                </w:p>
              </w:tc>
              <w:tc>
                <w:tcPr>
                  <w:tcW w:w="747" w:type="dxa"/>
                  <w:vMerge w:val="restart"/>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rPr>
                  </w:pPr>
                  <w:r>
                    <w:rPr>
                      <w:rFonts w:hint="default" w:ascii="Times New Roman" w:hAnsi="Times New Roman" w:eastAsia="宋体" w:cs="Times New Roman"/>
                      <w:bCs/>
                      <w:color w:val="0000FF"/>
                      <w:spacing w:val="0"/>
                      <w:sz w:val="21"/>
                      <w:szCs w:val="21"/>
                      <w:highlight w:val="none"/>
                    </w:rPr>
                    <w:t>旋风除尘器+布袋除尘器+双碱法脱硫塔</w:t>
                  </w:r>
                </w:p>
              </w:tc>
              <w:tc>
                <w:tcPr>
                  <w:tcW w:w="840"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eastAsia" w:cs="Times New Roman"/>
                      <w:bCs/>
                      <w:color w:val="0000FF"/>
                      <w:spacing w:val="0"/>
                      <w:sz w:val="21"/>
                      <w:szCs w:val="21"/>
                      <w:highlight w:val="none"/>
                      <w:lang w:val="en-US" w:eastAsia="zh-CN"/>
                    </w:rPr>
                    <w:t>11.9</w:t>
                  </w:r>
                </w:p>
              </w:tc>
              <w:tc>
                <w:tcPr>
                  <w:tcW w:w="900"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eastAsia" w:cs="Times New Roman"/>
                      <w:bCs/>
                      <w:color w:val="0000FF"/>
                      <w:spacing w:val="0"/>
                      <w:sz w:val="21"/>
                      <w:szCs w:val="21"/>
                      <w:highlight w:val="none"/>
                      <w:lang w:val="en-US" w:eastAsia="zh-CN"/>
                    </w:rPr>
                    <w:t>0.037</w:t>
                  </w:r>
                </w:p>
              </w:tc>
              <w:tc>
                <w:tcPr>
                  <w:tcW w:w="755"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eastAsia" w:cs="Times New Roman"/>
                      <w:bCs/>
                      <w:color w:val="0000FF"/>
                      <w:spacing w:val="0"/>
                      <w:sz w:val="21"/>
                      <w:szCs w:val="21"/>
                      <w:highlight w:val="none"/>
                      <w:lang w:val="en-US" w:eastAsia="zh-CN"/>
                    </w:rPr>
                    <w:t>0.159</w:t>
                  </w:r>
                </w:p>
              </w:tc>
              <w:tc>
                <w:tcPr>
                  <w:tcW w:w="1041"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default" w:ascii="Times New Roman" w:hAnsi="Times New Roman" w:eastAsia="宋体" w:cs="Times New Roman"/>
                      <w:bCs/>
                      <w:color w:val="0000FF"/>
                      <w:spacing w:val="0"/>
                      <w:sz w:val="21"/>
                      <w:szCs w:val="21"/>
                      <w:highlight w:val="none"/>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Align w:val="center"/>
                </w:tcPr>
                <w:p>
                  <w:pPr>
                    <w:pStyle w:val="2"/>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二氧化硫</w:t>
                  </w:r>
                </w:p>
              </w:tc>
              <w:tc>
                <w:tcPr>
                  <w:tcW w:w="745" w:type="dxa"/>
                  <w:vMerge w:val="continue"/>
                  <w:vAlign w:val="center"/>
                </w:tcPr>
                <w:p>
                  <w:pPr>
                    <w:pStyle w:val="2"/>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p>
              </w:tc>
              <w:tc>
                <w:tcPr>
                  <w:tcW w:w="840"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eastAsia" w:cs="Times New Roman"/>
                      <w:bCs/>
                      <w:color w:val="0000FF"/>
                      <w:spacing w:val="0"/>
                      <w:sz w:val="21"/>
                      <w:szCs w:val="21"/>
                      <w:highlight w:val="none"/>
                      <w:lang w:val="en-US" w:eastAsia="zh-CN"/>
                    </w:rPr>
                    <w:t>272.4</w:t>
                  </w:r>
                </w:p>
              </w:tc>
              <w:tc>
                <w:tcPr>
                  <w:tcW w:w="747"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eastAsia" w:cs="Times New Roman"/>
                      <w:bCs/>
                      <w:color w:val="0000FF"/>
                      <w:spacing w:val="0"/>
                      <w:sz w:val="21"/>
                      <w:szCs w:val="21"/>
                      <w:highlight w:val="none"/>
                      <w:lang w:val="en-US" w:eastAsia="zh-CN"/>
                    </w:rPr>
                    <w:t>0.850</w:t>
                  </w:r>
                </w:p>
              </w:tc>
              <w:tc>
                <w:tcPr>
                  <w:tcW w:w="747"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eastAsia" w:cs="Times New Roman"/>
                      <w:bCs/>
                      <w:color w:val="0000FF"/>
                      <w:spacing w:val="0"/>
                      <w:sz w:val="21"/>
                      <w:szCs w:val="21"/>
                      <w:highlight w:val="none"/>
                      <w:lang w:val="en-US" w:eastAsia="zh-CN"/>
                    </w:rPr>
                    <w:t>3.672</w:t>
                  </w:r>
                </w:p>
              </w:tc>
              <w:tc>
                <w:tcPr>
                  <w:tcW w:w="747" w:type="dxa"/>
                  <w:vMerge w:val="continue"/>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p>
              </w:tc>
              <w:tc>
                <w:tcPr>
                  <w:tcW w:w="840"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eastAsia" w:cs="Times New Roman"/>
                      <w:bCs/>
                      <w:color w:val="0000FF"/>
                      <w:spacing w:val="0"/>
                      <w:sz w:val="21"/>
                      <w:szCs w:val="21"/>
                      <w:highlight w:val="none"/>
                      <w:lang w:val="en-US" w:eastAsia="zh-CN"/>
                    </w:rPr>
                    <w:t>136.2</w:t>
                  </w:r>
                </w:p>
              </w:tc>
              <w:tc>
                <w:tcPr>
                  <w:tcW w:w="900"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eastAsia" w:cs="Times New Roman"/>
                      <w:bCs/>
                      <w:color w:val="0000FF"/>
                      <w:spacing w:val="0"/>
                      <w:sz w:val="21"/>
                      <w:szCs w:val="21"/>
                      <w:highlight w:val="none"/>
                      <w:lang w:val="en-US" w:eastAsia="zh-CN"/>
                    </w:rPr>
                    <w:t>0.425</w:t>
                  </w:r>
                </w:p>
              </w:tc>
              <w:tc>
                <w:tcPr>
                  <w:tcW w:w="755"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eastAsia" w:cs="Times New Roman"/>
                      <w:bCs/>
                      <w:color w:val="0000FF"/>
                      <w:spacing w:val="0"/>
                      <w:sz w:val="21"/>
                      <w:szCs w:val="21"/>
                      <w:highlight w:val="none"/>
                      <w:lang w:val="en-US" w:eastAsia="zh-CN"/>
                    </w:rPr>
                    <w:t>1.836</w:t>
                  </w:r>
                </w:p>
              </w:tc>
              <w:tc>
                <w:tcPr>
                  <w:tcW w:w="1041"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default" w:ascii="Times New Roman" w:hAnsi="Times New Roman" w:eastAsia="宋体" w:cs="Times New Roman"/>
                      <w:bCs/>
                      <w:color w:val="0000FF"/>
                      <w:spacing w:val="0"/>
                      <w:sz w:val="21"/>
                      <w:szCs w:val="21"/>
                      <w:highlight w:val="none"/>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Align w:val="center"/>
                </w:tcPr>
                <w:p>
                  <w:pPr>
                    <w:pStyle w:val="2"/>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氮氧化物</w:t>
                  </w:r>
                </w:p>
              </w:tc>
              <w:tc>
                <w:tcPr>
                  <w:tcW w:w="745" w:type="dxa"/>
                  <w:vMerge w:val="continue"/>
                  <w:vAlign w:val="center"/>
                </w:tcPr>
                <w:p>
                  <w:pPr>
                    <w:pStyle w:val="2"/>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p>
              </w:tc>
              <w:tc>
                <w:tcPr>
                  <w:tcW w:w="840"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default" w:ascii="Times New Roman" w:hAnsi="Times New Roman" w:eastAsia="宋体" w:cs="Times New Roman"/>
                      <w:bCs/>
                      <w:color w:val="0000FF"/>
                      <w:spacing w:val="0"/>
                      <w:sz w:val="21"/>
                      <w:szCs w:val="21"/>
                      <w:highlight w:val="none"/>
                      <w:lang w:val="en-US" w:eastAsia="zh-CN"/>
                    </w:rPr>
                    <w:t>163.5</w:t>
                  </w:r>
                </w:p>
              </w:tc>
              <w:tc>
                <w:tcPr>
                  <w:tcW w:w="747"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default" w:ascii="Times New Roman" w:hAnsi="Times New Roman" w:eastAsia="宋体" w:cs="Times New Roman"/>
                      <w:bCs/>
                      <w:color w:val="0000FF"/>
                      <w:spacing w:val="0"/>
                      <w:sz w:val="21"/>
                      <w:szCs w:val="21"/>
                      <w:highlight w:val="none"/>
                      <w:lang w:val="en-US" w:eastAsia="zh-CN"/>
                    </w:rPr>
                    <w:t>0.510</w:t>
                  </w:r>
                </w:p>
              </w:tc>
              <w:tc>
                <w:tcPr>
                  <w:tcW w:w="747"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default" w:ascii="Times New Roman" w:hAnsi="Times New Roman" w:eastAsia="宋体" w:cs="Times New Roman"/>
                      <w:bCs/>
                      <w:color w:val="0000FF"/>
                      <w:spacing w:val="0"/>
                      <w:sz w:val="21"/>
                      <w:szCs w:val="21"/>
                      <w:highlight w:val="none"/>
                      <w:lang w:val="en-US" w:eastAsia="zh-CN"/>
                    </w:rPr>
                    <w:t>2.203</w:t>
                  </w:r>
                </w:p>
              </w:tc>
              <w:tc>
                <w:tcPr>
                  <w:tcW w:w="747" w:type="dxa"/>
                  <w:vMerge w:val="continue"/>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rPr>
                  </w:pPr>
                </w:p>
              </w:tc>
              <w:tc>
                <w:tcPr>
                  <w:tcW w:w="840"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default" w:ascii="Times New Roman" w:hAnsi="Times New Roman" w:eastAsia="宋体" w:cs="Times New Roman"/>
                      <w:bCs/>
                      <w:color w:val="0000FF"/>
                      <w:spacing w:val="0"/>
                      <w:sz w:val="21"/>
                      <w:szCs w:val="21"/>
                      <w:highlight w:val="none"/>
                      <w:lang w:val="en-US" w:eastAsia="zh-CN"/>
                    </w:rPr>
                    <w:t>163.5</w:t>
                  </w:r>
                </w:p>
              </w:tc>
              <w:tc>
                <w:tcPr>
                  <w:tcW w:w="900"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default" w:ascii="Times New Roman" w:hAnsi="Times New Roman" w:eastAsia="宋体" w:cs="Times New Roman"/>
                      <w:bCs/>
                      <w:color w:val="0000FF"/>
                      <w:spacing w:val="0"/>
                      <w:sz w:val="21"/>
                      <w:szCs w:val="21"/>
                      <w:highlight w:val="none"/>
                      <w:lang w:val="en-US" w:eastAsia="zh-CN"/>
                    </w:rPr>
                    <w:t>0.510</w:t>
                  </w:r>
                </w:p>
              </w:tc>
              <w:tc>
                <w:tcPr>
                  <w:tcW w:w="755"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default" w:ascii="Times New Roman" w:hAnsi="Times New Roman" w:eastAsia="宋体" w:cs="Times New Roman"/>
                      <w:bCs/>
                      <w:color w:val="0000FF"/>
                      <w:spacing w:val="0"/>
                      <w:sz w:val="21"/>
                      <w:szCs w:val="21"/>
                      <w:highlight w:val="none"/>
                      <w:lang w:val="en-US" w:eastAsia="zh-CN"/>
                    </w:rPr>
                    <w:t>2.203</w:t>
                  </w:r>
                </w:p>
              </w:tc>
              <w:tc>
                <w:tcPr>
                  <w:tcW w:w="1041"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default" w:ascii="Times New Roman" w:hAnsi="Times New Roman" w:eastAsia="宋体" w:cs="Times New Roman"/>
                      <w:bCs/>
                      <w:color w:val="0000FF"/>
                      <w:spacing w:val="0"/>
                      <w:sz w:val="21"/>
                      <w:szCs w:val="21"/>
                      <w:highlight w:val="none"/>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Align w:val="center"/>
                </w:tcPr>
                <w:p>
                  <w:pPr>
                    <w:pStyle w:val="2"/>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汞及其化合物</w:t>
                  </w:r>
                </w:p>
              </w:tc>
              <w:tc>
                <w:tcPr>
                  <w:tcW w:w="745" w:type="dxa"/>
                  <w:vMerge w:val="continue"/>
                  <w:vAlign w:val="center"/>
                </w:tcPr>
                <w:p>
                  <w:pPr>
                    <w:pStyle w:val="2"/>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p>
              </w:tc>
              <w:tc>
                <w:tcPr>
                  <w:tcW w:w="840"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default" w:ascii="Times New Roman" w:hAnsi="Times New Roman" w:eastAsia="宋体" w:cs="Times New Roman"/>
                      <w:bCs/>
                      <w:color w:val="0000FF"/>
                      <w:spacing w:val="0"/>
                      <w:sz w:val="21"/>
                      <w:szCs w:val="21"/>
                      <w:highlight w:val="none"/>
                      <w:lang w:val="en-US" w:eastAsia="zh-CN"/>
                    </w:rPr>
                    <w:t>0.0019</w:t>
                  </w:r>
                </w:p>
              </w:tc>
              <w:tc>
                <w:tcPr>
                  <w:tcW w:w="747"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default" w:ascii="Times New Roman" w:hAnsi="Times New Roman" w:eastAsia="宋体" w:cs="Times New Roman"/>
                      <w:bCs/>
                      <w:color w:val="0000FF"/>
                      <w:spacing w:val="0"/>
                      <w:sz w:val="21"/>
                      <w:szCs w:val="21"/>
                      <w:highlight w:val="none"/>
                      <w:lang w:val="en-US" w:eastAsia="zh-CN"/>
                    </w:rPr>
                    <w:t>0.0000058</w:t>
                  </w:r>
                </w:p>
              </w:tc>
              <w:tc>
                <w:tcPr>
                  <w:tcW w:w="747"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default" w:ascii="Times New Roman" w:hAnsi="Times New Roman" w:eastAsia="宋体" w:cs="Times New Roman"/>
                      <w:bCs/>
                      <w:color w:val="0000FF"/>
                      <w:spacing w:val="0"/>
                      <w:sz w:val="21"/>
                      <w:szCs w:val="21"/>
                      <w:highlight w:val="none"/>
                      <w:lang w:val="en-US" w:eastAsia="zh-CN"/>
                    </w:rPr>
                    <w:t>0.000025</w:t>
                  </w:r>
                </w:p>
              </w:tc>
              <w:tc>
                <w:tcPr>
                  <w:tcW w:w="747" w:type="dxa"/>
                  <w:vMerge w:val="continue"/>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rPr>
                  </w:pPr>
                </w:p>
              </w:tc>
              <w:tc>
                <w:tcPr>
                  <w:tcW w:w="840"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default" w:ascii="Times New Roman" w:hAnsi="Times New Roman" w:eastAsia="宋体" w:cs="Times New Roman"/>
                      <w:bCs/>
                      <w:color w:val="0000FF"/>
                      <w:spacing w:val="0"/>
                      <w:sz w:val="21"/>
                      <w:szCs w:val="21"/>
                      <w:highlight w:val="none"/>
                      <w:lang w:val="en-US" w:eastAsia="zh-CN"/>
                    </w:rPr>
                    <w:t>0.0013</w:t>
                  </w:r>
                </w:p>
              </w:tc>
              <w:tc>
                <w:tcPr>
                  <w:tcW w:w="900"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default" w:ascii="Times New Roman" w:hAnsi="Times New Roman" w:eastAsia="宋体" w:cs="Times New Roman"/>
                      <w:bCs/>
                      <w:color w:val="0000FF"/>
                      <w:spacing w:val="0"/>
                      <w:sz w:val="21"/>
                      <w:szCs w:val="21"/>
                      <w:highlight w:val="none"/>
                      <w:lang w:val="en-US" w:eastAsia="zh-CN"/>
                    </w:rPr>
                    <w:t>0.0000042</w:t>
                  </w:r>
                </w:p>
              </w:tc>
              <w:tc>
                <w:tcPr>
                  <w:tcW w:w="755"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default" w:ascii="Times New Roman" w:hAnsi="Times New Roman" w:eastAsia="宋体" w:cs="Times New Roman"/>
                      <w:bCs/>
                      <w:color w:val="0000FF"/>
                      <w:spacing w:val="0"/>
                      <w:sz w:val="21"/>
                      <w:szCs w:val="21"/>
                      <w:highlight w:val="none"/>
                      <w:lang w:val="en-US" w:eastAsia="zh-CN"/>
                    </w:rPr>
                    <w:t>0.000018</w:t>
                  </w:r>
                </w:p>
              </w:tc>
              <w:tc>
                <w:tcPr>
                  <w:tcW w:w="1041"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default" w:ascii="Times New Roman" w:hAnsi="Times New Roman" w:eastAsia="宋体" w:cs="Times New Roman"/>
                      <w:bCs/>
                      <w:color w:val="0000FF"/>
                      <w:spacing w:val="0"/>
                      <w:sz w:val="21"/>
                      <w:szCs w:val="21"/>
                      <w:highlight w:val="none"/>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5" w:type="dxa"/>
                  <w:vAlign w:val="center"/>
                </w:tcPr>
                <w:p>
                  <w:pPr>
                    <w:pStyle w:val="2"/>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烟气黑度</w:t>
                  </w:r>
                </w:p>
              </w:tc>
              <w:tc>
                <w:tcPr>
                  <w:tcW w:w="745" w:type="dxa"/>
                  <w:vMerge w:val="continue"/>
                  <w:vAlign w:val="center"/>
                </w:tcPr>
                <w:p>
                  <w:pPr>
                    <w:pStyle w:val="2"/>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FF"/>
                      <w:sz w:val="21"/>
                      <w:szCs w:val="21"/>
                      <w:highlight w:val="none"/>
                    </w:rPr>
                  </w:pPr>
                </w:p>
              </w:tc>
              <w:tc>
                <w:tcPr>
                  <w:tcW w:w="840"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default" w:ascii="Times New Roman" w:hAnsi="Times New Roman" w:eastAsia="宋体" w:cs="Times New Roman"/>
                      <w:bCs/>
                      <w:color w:val="0000FF"/>
                      <w:spacing w:val="0"/>
                      <w:sz w:val="21"/>
                      <w:szCs w:val="21"/>
                      <w:highlight w:val="none"/>
                    </w:rPr>
                    <w:t>--</w:t>
                  </w:r>
                </w:p>
              </w:tc>
              <w:tc>
                <w:tcPr>
                  <w:tcW w:w="747"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default" w:ascii="Times New Roman" w:hAnsi="Times New Roman" w:eastAsia="宋体" w:cs="Times New Roman"/>
                      <w:bCs/>
                      <w:color w:val="0000FF"/>
                      <w:spacing w:val="0"/>
                      <w:sz w:val="21"/>
                      <w:szCs w:val="21"/>
                      <w:highlight w:val="none"/>
                    </w:rPr>
                    <w:t>--</w:t>
                  </w:r>
                </w:p>
              </w:tc>
              <w:tc>
                <w:tcPr>
                  <w:tcW w:w="747"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default" w:ascii="Times New Roman" w:hAnsi="Times New Roman" w:eastAsia="宋体" w:cs="Times New Roman"/>
                      <w:bCs/>
                      <w:color w:val="0000FF"/>
                      <w:spacing w:val="0"/>
                      <w:sz w:val="21"/>
                      <w:szCs w:val="21"/>
                      <w:highlight w:val="none"/>
                    </w:rPr>
                    <w:t>--</w:t>
                  </w:r>
                </w:p>
              </w:tc>
              <w:tc>
                <w:tcPr>
                  <w:tcW w:w="747" w:type="dxa"/>
                  <w:vMerge w:val="continue"/>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rPr>
                  </w:pPr>
                </w:p>
              </w:tc>
              <w:tc>
                <w:tcPr>
                  <w:tcW w:w="840"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default" w:ascii="Times New Roman" w:hAnsi="Times New Roman" w:eastAsia="宋体" w:cs="Times New Roman"/>
                      <w:bCs/>
                      <w:color w:val="0000FF"/>
                      <w:spacing w:val="0"/>
                      <w:sz w:val="21"/>
                      <w:szCs w:val="21"/>
                      <w:highlight w:val="none"/>
                    </w:rPr>
                    <w:t>--</w:t>
                  </w:r>
                </w:p>
              </w:tc>
              <w:tc>
                <w:tcPr>
                  <w:tcW w:w="900"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default" w:ascii="Times New Roman" w:hAnsi="Times New Roman" w:eastAsia="宋体" w:cs="Times New Roman"/>
                      <w:bCs/>
                      <w:color w:val="0000FF"/>
                      <w:spacing w:val="0"/>
                      <w:sz w:val="21"/>
                      <w:szCs w:val="21"/>
                      <w:highlight w:val="none"/>
                    </w:rPr>
                    <w:t>--</w:t>
                  </w:r>
                </w:p>
              </w:tc>
              <w:tc>
                <w:tcPr>
                  <w:tcW w:w="755"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default" w:ascii="Times New Roman" w:hAnsi="Times New Roman" w:eastAsia="宋体" w:cs="Times New Roman"/>
                      <w:bCs/>
                      <w:color w:val="0000FF"/>
                      <w:spacing w:val="0"/>
                      <w:sz w:val="21"/>
                      <w:szCs w:val="21"/>
                      <w:highlight w:val="none"/>
                    </w:rPr>
                    <w:t>--</w:t>
                  </w:r>
                </w:p>
              </w:tc>
              <w:tc>
                <w:tcPr>
                  <w:tcW w:w="1041"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sz w:val="21"/>
                      <w:szCs w:val="21"/>
                      <w:highlight w:val="none"/>
                      <w:lang w:val="en-US" w:eastAsia="zh-CN"/>
                    </w:rPr>
                  </w:pPr>
                  <w:r>
                    <w:rPr>
                      <w:rFonts w:hint="default" w:ascii="Times New Roman" w:hAnsi="Times New Roman" w:eastAsia="宋体" w:cs="Times New Roman"/>
                      <w:bCs/>
                      <w:color w:val="0000FF"/>
                      <w:spacing w:val="0"/>
                      <w:sz w:val="21"/>
                      <w:szCs w:val="21"/>
                      <w:highlight w:val="none"/>
                    </w:rPr>
                    <w:t>≤1（林格曼黑度，级）</w:t>
                  </w:r>
                </w:p>
              </w:tc>
            </w:tr>
          </w:tbl>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w:t>
            </w:r>
            <w:r>
              <w:rPr>
                <w:rFonts w:hint="default" w:ascii="Times New Roman" w:hAnsi="Times New Roman" w:eastAsia="宋体" w:cs="Times New Roman"/>
                <w:color w:val="auto"/>
                <w:highlight w:val="none"/>
                <w:lang w:val="en-US" w:eastAsia="zh-CN"/>
              </w:rPr>
              <w:t>上</w:t>
            </w:r>
            <w:r>
              <w:rPr>
                <w:rFonts w:hint="default" w:ascii="Times New Roman" w:hAnsi="Times New Roman" w:eastAsia="宋体" w:cs="Times New Roman"/>
                <w:color w:val="auto"/>
                <w:highlight w:val="none"/>
              </w:rPr>
              <w:t>表得知，</w:t>
            </w:r>
            <w:r>
              <w:rPr>
                <w:rFonts w:hint="default" w:ascii="Times New Roman" w:hAnsi="Times New Roman" w:eastAsia="宋体" w:cs="Times New Roman"/>
                <w:color w:val="auto"/>
                <w:highlight w:val="none"/>
                <w:lang w:eastAsia="zh-CN"/>
              </w:rPr>
              <w:t>改建项目</w:t>
            </w:r>
            <w:r>
              <w:rPr>
                <w:rFonts w:hint="default" w:ascii="Times New Roman" w:hAnsi="Times New Roman" w:eastAsia="宋体" w:cs="Times New Roman"/>
                <w:color w:val="auto"/>
                <w:highlight w:val="none"/>
              </w:rPr>
              <w:t>1台</w:t>
            </w:r>
            <w:r>
              <w:rPr>
                <w:rFonts w:hint="default" w:ascii="Times New Roman" w:hAnsi="Times New Roman" w:eastAsia="宋体" w:cs="Times New Roman"/>
                <w:color w:val="auto"/>
                <w:highlight w:val="none"/>
                <w:lang w:eastAsia="zh-CN"/>
              </w:rPr>
              <w:t>生物质热水锅炉</w:t>
            </w:r>
            <w:r>
              <w:rPr>
                <w:rFonts w:hint="default" w:ascii="Times New Roman" w:hAnsi="Times New Roman" w:eastAsia="宋体" w:cs="Times New Roman"/>
                <w:color w:val="auto"/>
                <w:highlight w:val="none"/>
              </w:rPr>
              <w:t>废气污染物颗粒物、SO</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、NOx、汞及其化合物</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烟气黑度</w:t>
            </w:r>
            <w:r>
              <w:rPr>
                <w:rFonts w:hint="default" w:ascii="Times New Roman" w:hAnsi="Times New Roman" w:eastAsia="宋体" w:cs="Times New Roman"/>
                <w:color w:val="auto"/>
                <w:highlight w:val="none"/>
              </w:rPr>
              <w:t>排放浓度均符合《锅炉大气污染物排放标准》（GB13271-2014）表2新建锅炉大气污染物排放浓度限值中燃煤锅炉的排放浓度限值。</w:t>
            </w:r>
          </w:p>
          <w:p>
            <w:pPr>
              <w:bidi w:val="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1.1.2</w:t>
            </w:r>
            <w:r>
              <w:rPr>
                <w:rFonts w:hint="default" w:ascii="Times New Roman" w:hAnsi="Times New Roman" w:eastAsia="宋体" w:cs="Times New Roman"/>
                <w:b/>
                <w:bCs/>
                <w:color w:val="auto"/>
                <w:highlight w:val="none"/>
                <w:lang w:eastAsia="zh-CN"/>
              </w:rPr>
              <w:t>灰渣库</w:t>
            </w:r>
            <w:r>
              <w:rPr>
                <w:rFonts w:hint="default" w:ascii="Times New Roman" w:hAnsi="Times New Roman" w:eastAsia="宋体" w:cs="Times New Roman"/>
                <w:b/>
                <w:bCs/>
                <w:color w:val="auto"/>
                <w:highlight w:val="none"/>
                <w:lang w:val="en-US" w:eastAsia="zh-CN"/>
              </w:rPr>
              <w:t>废气</w:t>
            </w:r>
          </w:p>
          <w:p>
            <w:pPr>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改建项目</w:t>
            </w:r>
            <w:r>
              <w:rPr>
                <w:rFonts w:hint="default" w:ascii="Times New Roman" w:hAnsi="Times New Roman" w:eastAsia="宋体" w:cs="Times New Roman"/>
                <w:color w:val="auto"/>
                <w:highlight w:val="none"/>
              </w:rPr>
              <w:t>锅炉</w:t>
            </w:r>
            <w:r>
              <w:rPr>
                <w:rFonts w:hint="default" w:ascii="Times New Roman" w:hAnsi="Times New Roman" w:eastAsia="宋体" w:cs="Times New Roman"/>
                <w:color w:val="auto"/>
                <w:highlight w:val="none"/>
                <w:lang w:eastAsia="zh-CN"/>
              </w:rPr>
              <w:t>炉渣</w:t>
            </w:r>
            <w:r>
              <w:rPr>
                <w:rFonts w:hint="default" w:ascii="Times New Roman" w:hAnsi="Times New Roman" w:eastAsia="宋体" w:cs="Times New Roman"/>
                <w:color w:val="auto"/>
                <w:highlight w:val="none"/>
              </w:rPr>
              <w:t>卸载量为</w:t>
            </w:r>
            <w:r>
              <w:rPr>
                <w:rFonts w:hint="default" w:ascii="Times New Roman" w:hAnsi="Times New Roman" w:eastAsia="宋体" w:cs="Times New Roman"/>
                <w:color w:val="auto"/>
                <w:highlight w:val="none"/>
                <w:lang w:val="en-US" w:eastAsia="zh-CN"/>
              </w:rPr>
              <w:t>204.781</w:t>
            </w:r>
            <w:r>
              <w:rPr>
                <w:rFonts w:hint="default" w:ascii="Times New Roman" w:hAnsi="Times New Roman" w:eastAsia="宋体" w:cs="Times New Roman"/>
                <w:color w:val="auto"/>
                <w:highlight w:val="none"/>
              </w:rPr>
              <w:t>t/a，</w:t>
            </w:r>
            <w:r>
              <w:rPr>
                <w:rFonts w:hint="default" w:ascii="Times New Roman" w:hAnsi="Times New Roman" w:eastAsia="宋体" w:cs="Times New Roman"/>
                <w:color w:val="auto"/>
                <w:highlight w:val="none"/>
                <w:lang w:eastAsia="zh-CN"/>
              </w:rPr>
              <w:t>堆存于灰渣库内</w:t>
            </w:r>
            <w:r>
              <w:rPr>
                <w:rFonts w:hint="default" w:ascii="Times New Roman" w:hAnsi="Times New Roman" w:eastAsia="宋体" w:cs="Times New Roman"/>
                <w:color w:val="auto"/>
                <w:highlight w:val="none"/>
              </w:rPr>
              <w:t>；除尘灰产生量</w:t>
            </w:r>
            <w:r>
              <w:rPr>
                <w:rFonts w:hint="default" w:ascii="Times New Roman" w:hAnsi="Times New Roman" w:eastAsia="宋体" w:cs="Times New Roman"/>
                <w:color w:val="0000FF"/>
                <w:highlight w:val="none"/>
              </w:rPr>
              <w:t>为</w:t>
            </w:r>
            <w:r>
              <w:rPr>
                <w:rFonts w:hint="eastAsia" w:cs="Times New Roman"/>
                <w:color w:val="0000FF"/>
                <w:highlight w:val="none"/>
                <w:lang w:eastAsia="zh-CN"/>
              </w:rPr>
              <w:t>0.921</w:t>
            </w:r>
            <w:r>
              <w:rPr>
                <w:rFonts w:hint="default" w:ascii="Times New Roman" w:hAnsi="Times New Roman" w:eastAsia="宋体" w:cs="Times New Roman"/>
                <w:color w:val="0000FF"/>
                <w:highlight w:val="none"/>
                <w:lang w:val="en-US" w:eastAsia="zh-CN"/>
              </w:rPr>
              <w:t>t</w:t>
            </w:r>
            <w:r>
              <w:rPr>
                <w:rFonts w:hint="default" w:ascii="Times New Roman" w:hAnsi="Times New Roman" w:eastAsia="宋体" w:cs="Times New Roman"/>
                <w:color w:val="0000FF"/>
                <w:highlight w:val="none"/>
              </w:rPr>
              <w:t>/a，</w:t>
            </w:r>
            <w:r>
              <w:rPr>
                <w:rFonts w:hint="default" w:ascii="Times New Roman" w:hAnsi="Times New Roman" w:eastAsia="宋体" w:cs="Times New Roman"/>
                <w:color w:val="auto"/>
                <w:highlight w:val="none"/>
              </w:rPr>
              <w:t>袋装后，</w:t>
            </w:r>
            <w:r>
              <w:rPr>
                <w:rFonts w:hint="default" w:ascii="Times New Roman" w:hAnsi="Times New Roman" w:eastAsia="宋体" w:cs="Times New Roman"/>
                <w:color w:val="auto"/>
                <w:highlight w:val="none"/>
                <w:lang w:eastAsia="zh-CN"/>
              </w:rPr>
              <w:t>堆存于灰渣库内</w:t>
            </w:r>
            <w:r>
              <w:rPr>
                <w:rFonts w:hint="default" w:ascii="Times New Roman" w:hAnsi="Times New Roman" w:eastAsia="宋体" w:cs="Times New Roman"/>
                <w:color w:val="auto"/>
                <w:highlight w:val="none"/>
              </w:rPr>
              <w:t>，在装卸过程中会产生粉尘，参照《逸散性工业粉尘控制技术》“卸料”按0.</w:t>
            </w:r>
            <w:r>
              <w:rPr>
                <w:rFonts w:hint="default" w:ascii="Times New Roman" w:hAnsi="Times New Roman" w:eastAsia="宋体" w:cs="Times New Roman"/>
                <w:color w:val="auto"/>
                <w:highlight w:val="none"/>
                <w:lang w:val="en-US" w:eastAsia="zh-CN"/>
              </w:rPr>
              <w:t>02</w:t>
            </w:r>
            <w:r>
              <w:rPr>
                <w:rFonts w:hint="default" w:ascii="Times New Roman" w:hAnsi="Times New Roman" w:eastAsia="宋体" w:cs="Times New Roman"/>
                <w:color w:val="auto"/>
                <w:highlight w:val="none"/>
              </w:rPr>
              <w:t>kg/t（卸料）计算，则</w:t>
            </w:r>
            <w:r>
              <w:rPr>
                <w:rFonts w:hint="default" w:ascii="Times New Roman" w:hAnsi="Times New Roman" w:eastAsia="宋体" w:cs="Times New Roman"/>
                <w:color w:val="auto"/>
                <w:highlight w:val="none"/>
                <w:lang w:eastAsia="zh-CN"/>
              </w:rPr>
              <w:t>灰渣库</w:t>
            </w:r>
            <w:r>
              <w:rPr>
                <w:rFonts w:hint="default" w:ascii="Times New Roman" w:hAnsi="Times New Roman" w:eastAsia="宋体" w:cs="Times New Roman"/>
                <w:color w:val="auto"/>
                <w:highlight w:val="none"/>
              </w:rPr>
              <w:t>粉尘产生量为0.0</w:t>
            </w:r>
            <w:r>
              <w:rPr>
                <w:rFonts w:hint="default" w:ascii="Times New Roman" w:hAnsi="Times New Roman" w:eastAsia="宋体" w:cs="Times New Roman"/>
                <w:color w:val="auto"/>
                <w:highlight w:val="none"/>
                <w:lang w:val="en-US" w:eastAsia="zh-CN"/>
              </w:rPr>
              <w:t>04</w:t>
            </w:r>
            <w:r>
              <w:rPr>
                <w:rFonts w:hint="default" w:ascii="Times New Roman" w:hAnsi="Times New Roman" w:eastAsia="宋体" w:cs="Times New Roman"/>
                <w:color w:val="auto"/>
                <w:highlight w:val="none"/>
              </w:rPr>
              <w:t>t/a，</w:t>
            </w:r>
            <w:r>
              <w:rPr>
                <w:rFonts w:hint="default" w:ascii="Times New Roman" w:hAnsi="Times New Roman" w:eastAsia="宋体" w:cs="Times New Roman"/>
                <w:color w:val="auto"/>
                <w:highlight w:val="none"/>
                <w:lang w:eastAsia="zh-CN"/>
              </w:rPr>
              <w:t>改建项目</w:t>
            </w:r>
            <w:r>
              <w:rPr>
                <w:rFonts w:hint="default" w:ascii="Times New Roman" w:hAnsi="Times New Roman" w:eastAsia="宋体" w:cs="Times New Roman"/>
                <w:color w:val="auto"/>
                <w:highlight w:val="none"/>
              </w:rPr>
              <w:t>锅炉</w:t>
            </w:r>
            <w:r>
              <w:rPr>
                <w:rFonts w:hint="default" w:ascii="Times New Roman" w:hAnsi="Times New Roman" w:eastAsia="宋体" w:cs="Times New Roman"/>
                <w:color w:val="auto"/>
                <w:highlight w:val="none"/>
                <w:lang w:eastAsia="zh-CN"/>
              </w:rPr>
              <w:t>炉渣</w:t>
            </w:r>
            <w:r>
              <w:rPr>
                <w:rFonts w:hint="default" w:ascii="Times New Roman" w:hAnsi="Times New Roman" w:eastAsia="宋体" w:cs="Times New Roman"/>
                <w:color w:val="auto"/>
                <w:highlight w:val="none"/>
              </w:rPr>
              <w:t>和除尘灰卸载过程中均在</w:t>
            </w:r>
            <w:r>
              <w:rPr>
                <w:rFonts w:hint="default" w:ascii="Times New Roman" w:hAnsi="Times New Roman" w:eastAsia="宋体" w:cs="Times New Roman"/>
                <w:color w:val="auto"/>
                <w:highlight w:val="none"/>
                <w:lang w:eastAsia="zh-CN"/>
              </w:rPr>
              <w:t>灰渣库</w:t>
            </w:r>
            <w:r>
              <w:rPr>
                <w:rFonts w:hint="default" w:ascii="Times New Roman" w:hAnsi="Times New Roman" w:eastAsia="宋体" w:cs="Times New Roman"/>
                <w:color w:val="auto"/>
                <w:highlight w:val="none"/>
              </w:rPr>
              <w:t>内进行，抑尘率按</w:t>
            </w:r>
            <w:r>
              <w:rPr>
                <w:rFonts w:hint="default" w:ascii="Times New Roman" w:hAnsi="Times New Roman" w:eastAsia="宋体" w:cs="Times New Roman"/>
                <w:color w:val="auto"/>
                <w:highlight w:val="none"/>
                <w:lang w:val="en-US" w:eastAsia="zh-CN"/>
              </w:rPr>
              <w:t>60</w:t>
            </w:r>
            <w:r>
              <w:rPr>
                <w:rFonts w:hint="default" w:ascii="Times New Roman" w:hAnsi="Times New Roman" w:eastAsia="宋体" w:cs="Times New Roman"/>
                <w:color w:val="auto"/>
                <w:highlight w:val="none"/>
              </w:rPr>
              <w:t>%计，则</w:t>
            </w:r>
            <w:r>
              <w:rPr>
                <w:rFonts w:hint="default" w:ascii="Times New Roman" w:hAnsi="Times New Roman" w:eastAsia="宋体" w:cs="Times New Roman"/>
                <w:color w:val="auto"/>
                <w:highlight w:val="none"/>
                <w:lang w:eastAsia="zh-CN"/>
              </w:rPr>
              <w:t>灰渣库</w:t>
            </w:r>
            <w:r>
              <w:rPr>
                <w:rFonts w:hint="default" w:ascii="Times New Roman" w:hAnsi="Times New Roman" w:eastAsia="宋体" w:cs="Times New Roman"/>
                <w:color w:val="auto"/>
                <w:highlight w:val="none"/>
              </w:rPr>
              <w:t>粉尘排放量为0.00</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t/a；同时企业加强卸料环节作业管理，及时清理散落的粉尘，防止造成二次污染</w:t>
            </w:r>
            <w:r>
              <w:rPr>
                <w:rFonts w:hint="default" w:ascii="Times New Roman" w:hAnsi="Times New Roman" w:eastAsia="宋体" w:cs="Times New Roman"/>
                <w:color w:val="auto"/>
                <w:highlight w:val="none"/>
                <w:lang w:eastAsia="zh-CN"/>
              </w:rPr>
              <w:t>。</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灰渣库</w:t>
            </w:r>
            <w:r>
              <w:rPr>
                <w:rFonts w:hint="default" w:ascii="Times New Roman" w:hAnsi="Times New Roman" w:eastAsia="宋体" w:cs="Times New Roman"/>
                <w:color w:val="auto"/>
                <w:highlight w:val="none"/>
              </w:rPr>
              <w:t>废气产排情况如下表4-</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w:t>
            </w:r>
          </w:p>
          <w:p>
            <w:pPr>
              <w:bidi w:val="0"/>
              <w:ind w:left="0" w:leftChars="0" w:firstLine="0" w:firstLine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表4-</w:t>
            </w:r>
            <w:r>
              <w:rPr>
                <w:rFonts w:hint="default" w:ascii="Times New Roman" w:hAnsi="Times New Roman" w:eastAsia="宋体" w:cs="Times New Roman"/>
                <w:b/>
                <w:bCs/>
                <w:color w:val="auto"/>
                <w:highlight w:val="none"/>
                <w:lang w:val="en-US" w:eastAsia="zh-CN"/>
              </w:rPr>
              <w:t>3  灰渣库废气产生及排放情况</w:t>
            </w:r>
          </w:p>
          <w:tbl>
            <w:tblPr>
              <w:tblStyle w:val="19"/>
              <w:tblW w:w="81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64"/>
              <w:gridCol w:w="765"/>
              <w:gridCol w:w="765"/>
              <w:gridCol w:w="765"/>
              <w:gridCol w:w="765"/>
              <w:gridCol w:w="765"/>
              <w:gridCol w:w="765"/>
              <w:gridCol w:w="765"/>
              <w:gridCol w:w="19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80" w:type="dxa"/>
                  <w:vMerge w:val="restart"/>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污染源</w:t>
                  </w:r>
                </w:p>
              </w:tc>
              <w:tc>
                <w:tcPr>
                  <w:tcW w:w="781" w:type="dxa"/>
                  <w:vMerge w:val="restart"/>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排放方式</w:t>
                  </w:r>
                </w:p>
              </w:tc>
              <w:tc>
                <w:tcPr>
                  <w:tcW w:w="781" w:type="dxa"/>
                  <w:vMerge w:val="restart"/>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污染因子</w:t>
                  </w:r>
                </w:p>
              </w:tc>
              <w:tc>
                <w:tcPr>
                  <w:tcW w:w="1562" w:type="dxa"/>
                  <w:gridSpan w:val="2"/>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污染物产生情况</w:t>
                  </w:r>
                </w:p>
              </w:tc>
              <w:tc>
                <w:tcPr>
                  <w:tcW w:w="781" w:type="dxa"/>
                  <w:vMerge w:val="restart"/>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治理措施</w:t>
                  </w:r>
                </w:p>
              </w:tc>
              <w:tc>
                <w:tcPr>
                  <w:tcW w:w="1562" w:type="dxa"/>
                  <w:gridSpan w:val="2"/>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污染物排放情况</w:t>
                  </w:r>
                </w:p>
              </w:tc>
              <w:tc>
                <w:tcPr>
                  <w:tcW w:w="2030" w:type="dxa"/>
                  <w:vMerge w:val="restart"/>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80" w:type="dxa"/>
                  <w:vMerge w:val="continue"/>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781" w:type="dxa"/>
                  <w:vMerge w:val="continue"/>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781" w:type="dxa"/>
                  <w:vMerge w:val="continue"/>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781" w:type="dxa"/>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p>
              </w:tc>
              <w:tc>
                <w:tcPr>
                  <w:tcW w:w="781" w:type="dxa"/>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t/a</w:t>
                  </w:r>
                </w:p>
              </w:tc>
              <w:tc>
                <w:tcPr>
                  <w:tcW w:w="781" w:type="dxa"/>
                  <w:vMerge w:val="continue"/>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781" w:type="dxa"/>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rPr>
                    <w:t>3</w:t>
                  </w:r>
                </w:p>
              </w:tc>
              <w:tc>
                <w:tcPr>
                  <w:tcW w:w="781" w:type="dxa"/>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t/a</w:t>
                  </w:r>
                </w:p>
              </w:tc>
              <w:tc>
                <w:tcPr>
                  <w:tcW w:w="2030" w:type="dxa"/>
                  <w:vMerge w:val="continue"/>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80" w:type="dxa"/>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灰渣库</w:t>
                  </w:r>
                </w:p>
              </w:tc>
              <w:tc>
                <w:tcPr>
                  <w:tcW w:w="781" w:type="dxa"/>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无组织排放</w:t>
                  </w:r>
                </w:p>
              </w:tc>
              <w:tc>
                <w:tcPr>
                  <w:tcW w:w="781" w:type="dxa"/>
                  <w:tcMar>
                    <w:left w:w="28" w:type="dxa"/>
                    <w:right w:w="28" w:type="dxa"/>
                  </w:tcMar>
                  <w:vAlign w:val="center"/>
                </w:tcPr>
                <w:p>
                  <w:pPr>
                    <w:pStyle w:val="2"/>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781" w:type="dxa"/>
                  <w:tcMar>
                    <w:left w:w="28" w:type="dxa"/>
                    <w:right w:w="28" w:type="dxa"/>
                  </w:tcMar>
                  <w:vAlign w:val="center"/>
                </w:tcPr>
                <w:p>
                  <w:pPr>
                    <w:pStyle w:val="2"/>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81" w:type="dxa"/>
                  <w:tcMar>
                    <w:left w:w="28" w:type="dxa"/>
                    <w:right w:w="28" w:type="dxa"/>
                  </w:tcMar>
                  <w:vAlign w:val="center"/>
                </w:tcPr>
                <w:p>
                  <w:pPr>
                    <w:pStyle w:val="2"/>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0.0</w:t>
                  </w:r>
                  <w:r>
                    <w:rPr>
                      <w:rFonts w:hint="default" w:ascii="Times New Roman" w:hAnsi="Times New Roman" w:eastAsia="宋体" w:cs="Times New Roman"/>
                      <w:color w:val="auto"/>
                      <w:sz w:val="21"/>
                      <w:szCs w:val="21"/>
                      <w:highlight w:val="none"/>
                      <w:lang w:val="en-US" w:eastAsia="zh-CN"/>
                    </w:rPr>
                    <w:t>04</w:t>
                  </w:r>
                </w:p>
              </w:tc>
              <w:tc>
                <w:tcPr>
                  <w:tcW w:w="781" w:type="dxa"/>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灰渣库</w:t>
                  </w:r>
                </w:p>
              </w:tc>
              <w:tc>
                <w:tcPr>
                  <w:tcW w:w="781" w:type="dxa"/>
                  <w:tcMar>
                    <w:left w:w="28" w:type="dxa"/>
                    <w:right w:w="28" w:type="dxa"/>
                  </w:tcMar>
                  <w:vAlign w:val="center"/>
                </w:tcPr>
                <w:p>
                  <w:pPr>
                    <w:pStyle w:val="2"/>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81" w:type="dxa"/>
                  <w:tcMar>
                    <w:left w:w="28" w:type="dxa"/>
                    <w:right w:w="28" w:type="dxa"/>
                  </w:tcMar>
                  <w:vAlign w:val="center"/>
                </w:tcPr>
                <w:p>
                  <w:pPr>
                    <w:pStyle w:val="2"/>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0.0</w:t>
                  </w:r>
                  <w:r>
                    <w:rPr>
                      <w:rFonts w:hint="default" w:ascii="Times New Roman" w:hAnsi="Times New Roman" w:eastAsia="宋体" w:cs="Times New Roman"/>
                      <w:color w:val="auto"/>
                      <w:sz w:val="21"/>
                      <w:szCs w:val="21"/>
                      <w:highlight w:val="none"/>
                      <w:lang w:val="en-US" w:eastAsia="zh-CN"/>
                    </w:rPr>
                    <w:t>02</w:t>
                  </w:r>
                </w:p>
              </w:tc>
              <w:tc>
                <w:tcPr>
                  <w:tcW w:w="2030" w:type="dxa"/>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《大气污染物综合排放标准》</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GB16297-1996）表2新污染源大气污染物排放限值中“无组织排放监控浓度限值”1.0mg/m</w:t>
                  </w:r>
                  <w:r>
                    <w:rPr>
                      <w:rFonts w:hint="default" w:ascii="Times New Roman" w:hAnsi="Times New Roman" w:eastAsia="宋体" w:cs="Times New Roman"/>
                      <w:color w:val="auto"/>
                      <w:sz w:val="21"/>
                      <w:szCs w:val="21"/>
                      <w:highlight w:val="none"/>
                      <w:vertAlign w:val="superscript"/>
                    </w:rPr>
                    <w:t>3</w:t>
                  </w:r>
                </w:p>
              </w:tc>
            </w:tr>
          </w:tbl>
          <w:p>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1.1.3运营期废气污染物排放汇总情况</w:t>
            </w:r>
          </w:p>
          <w:p>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改建项目</w:t>
            </w:r>
            <w:r>
              <w:rPr>
                <w:rFonts w:hint="default" w:ascii="Times New Roman" w:hAnsi="Times New Roman" w:eastAsia="宋体" w:cs="Times New Roman"/>
                <w:color w:val="auto"/>
                <w:sz w:val="24"/>
                <w:szCs w:val="24"/>
                <w:highlight w:val="none"/>
              </w:rPr>
              <w:t>大气污染源治理情况汇总表见表</w:t>
            </w:r>
            <w:r>
              <w:rPr>
                <w:rFonts w:hint="default" w:ascii="Times New Roman" w:hAnsi="Times New Roman" w:eastAsia="宋体" w:cs="Times New Roman"/>
                <w:color w:val="auto"/>
                <w:sz w:val="24"/>
                <w:szCs w:val="24"/>
                <w:highlight w:val="none"/>
                <w:lang w:val="en-US" w:eastAsia="zh-CN"/>
              </w:rPr>
              <w:t>4-4</w:t>
            </w:r>
            <w:r>
              <w:rPr>
                <w:rFonts w:hint="default" w:ascii="Times New Roman" w:hAnsi="Times New Roman" w:eastAsia="宋体" w:cs="Times New Roman"/>
                <w:color w:val="auto"/>
                <w:sz w:val="24"/>
                <w:szCs w:val="24"/>
                <w:highlight w:val="none"/>
              </w:rPr>
              <w:t>。</w:t>
            </w:r>
          </w:p>
          <w:p>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 xml:space="preserve">4-4  </w:t>
            </w:r>
            <w:r>
              <w:rPr>
                <w:rFonts w:hint="default" w:ascii="Times New Roman" w:hAnsi="Times New Roman" w:eastAsia="宋体" w:cs="Times New Roman"/>
                <w:b/>
                <w:bCs/>
                <w:color w:val="auto"/>
                <w:sz w:val="24"/>
                <w:szCs w:val="24"/>
                <w:highlight w:val="none"/>
              </w:rPr>
              <w:t>大气污染物产生、排放、治理情况汇总表</w:t>
            </w:r>
          </w:p>
          <w:tbl>
            <w:tblPr>
              <w:tblStyle w:val="19"/>
              <w:tblW w:w="81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18"/>
              <w:gridCol w:w="718"/>
              <w:gridCol w:w="718"/>
              <w:gridCol w:w="718"/>
              <w:gridCol w:w="718"/>
              <w:gridCol w:w="1074"/>
              <w:gridCol w:w="718"/>
              <w:gridCol w:w="719"/>
              <w:gridCol w:w="719"/>
              <w:gridCol w:w="12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8"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污染源</w:t>
                  </w:r>
                </w:p>
              </w:tc>
              <w:tc>
                <w:tcPr>
                  <w:tcW w:w="718"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排放方式</w:t>
                  </w:r>
                </w:p>
              </w:tc>
              <w:tc>
                <w:tcPr>
                  <w:tcW w:w="718"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污染因子</w:t>
                  </w:r>
                </w:p>
              </w:tc>
              <w:tc>
                <w:tcPr>
                  <w:tcW w:w="1436" w:type="dxa"/>
                  <w:gridSpan w:val="2"/>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污染物产生情况</w:t>
                  </w:r>
                </w:p>
              </w:tc>
              <w:tc>
                <w:tcPr>
                  <w:tcW w:w="1074"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治理措施</w:t>
                  </w:r>
                </w:p>
              </w:tc>
              <w:tc>
                <w:tcPr>
                  <w:tcW w:w="2156" w:type="dxa"/>
                  <w:gridSpan w:val="3"/>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污染物排放情况</w:t>
                  </w:r>
                </w:p>
              </w:tc>
              <w:tc>
                <w:tcPr>
                  <w:tcW w:w="1287"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8"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718"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718"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718"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mg/m</w:t>
                  </w:r>
                  <w:r>
                    <w:rPr>
                      <w:rFonts w:hint="default" w:ascii="Times New Roman" w:hAnsi="Times New Roman" w:eastAsia="宋体" w:cs="Times New Roman"/>
                      <w:b w:val="0"/>
                      <w:bCs w:val="0"/>
                      <w:color w:val="auto"/>
                      <w:sz w:val="21"/>
                      <w:szCs w:val="21"/>
                      <w:highlight w:val="none"/>
                      <w:vertAlign w:val="superscript"/>
                    </w:rPr>
                    <w:t>3</w:t>
                  </w:r>
                </w:p>
              </w:tc>
              <w:tc>
                <w:tcPr>
                  <w:tcW w:w="718"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t/a</w:t>
                  </w:r>
                </w:p>
              </w:tc>
              <w:tc>
                <w:tcPr>
                  <w:tcW w:w="1074"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718"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mg/m</w:t>
                  </w:r>
                  <w:r>
                    <w:rPr>
                      <w:rFonts w:hint="default" w:ascii="Times New Roman" w:hAnsi="Times New Roman" w:eastAsia="宋体" w:cs="Times New Roman"/>
                      <w:b w:val="0"/>
                      <w:bCs w:val="0"/>
                      <w:color w:val="auto"/>
                      <w:sz w:val="21"/>
                      <w:szCs w:val="21"/>
                      <w:highlight w:val="none"/>
                      <w:vertAlign w:val="superscript"/>
                    </w:rPr>
                    <w:t>3</w:t>
                  </w:r>
                </w:p>
              </w:tc>
              <w:tc>
                <w:tcPr>
                  <w:tcW w:w="719"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kg/h</w:t>
                  </w:r>
                </w:p>
              </w:tc>
              <w:tc>
                <w:tcPr>
                  <w:tcW w:w="719"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t/a</w:t>
                  </w:r>
                </w:p>
              </w:tc>
              <w:tc>
                <w:tcPr>
                  <w:tcW w:w="1287"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8"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rPr>
                  </w:pPr>
                  <w:r>
                    <w:rPr>
                      <w:rFonts w:hint="default" w:ascii="Times New Roman" w:hAnsi="Times New Roman" w:eastAsia="宋体" w:cs="Times New Roman"/>
                      <w:b w:val="0"/>
                      <w:bCs w:val="0"/>
                      <w:color w:val="auto"/>
                      <w:sz w:val="21"/>
                      <w:szCs w:val="21"/>
                      <w:highlight w:val="none"/>
                      <w:lang w:val="en-US" w:eastAsia="zh-CN"/>
                    </w:rPr>
                    <w:t>生物质热水锅炉</w:t>
                  </w:r>
                </w:p>
              </w:tc>
              <w:tc>
                <w:tcPr>
                  <w:tcW w:w="718"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有组织</w:t>
                  </w:r>
                </w:p>
              </w:tc>
              <w:tc>
                <w:tcPr>
                  <w:tcW w:w="718" w:type="dxa"/>
                  <w:noWrap w:val="0"/>
                  <w:tcMar>
                    <w:left w:w="28" w:type="dxa"/>
                    <w:right w:w="28" w:type="dxa"/>
                  </w:tcMar>
                  <w:vAlign w:val="center"/>
                </w:tcPr>
                <w:p>
                  <w:pPr>
                    <w:pStyle w:val="2"/>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颗粒物</w:t>
                  </w:r>
                </w:p>
              </w:tc>
              <w:tc>
                <w:tcPr>
                  <w:tcW w:w="718" w:type="dxa"/>
                  <w:noWrap w:val="0"/>
                  <w:tcMar>
                    <w:left w:w="28" w:type="dxa"/>
                    <w:right w:w="28"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bCs/>
                      <w:color w:val="auto"/>
                      <w:spacing w:val="0"/>
                      <w:sz w:val="21"/>
                      <w:szCs w:val="21"/>
                      <w:highlight w:val="none"/>
                      <w:lang w:val="en-US" w:eastAsia="zh-CN"/>
                    </w:rPr>
                    <w:t>80.1</w:t>
                  </w:r>
                </w:p>
              </w:tc>
              <w:tc>
                <w:tcPr>
                  <w:tcW w:w="718" w:type="dxa"/>
                  <w:noWrap w:val="0"/>
                  <w:tcMar>
                    <w:left w:w="28" w:type="dxa"/>
                    <w:right w:w="28"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bCs/>
                      <w:color w:val="auto"/>
                      <w:spacing w:val="0"/>
                      <w:sz w:val="21"/>
                      <w:szCs w:val="21"/>
                      <w:highlight w:val="none"/>
                      <w:lang w:val="en-US" w:eastAsia="zh-CN"/>
                    </w:rPr>
                    <w:t>1.080</w:t>
                  </w:r>
                </w:p>
              </w:tc>
              <w:tc>
                <w:tcPr>
                  <w:tcW w:w="1074"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Cs/>
                      <w:color w:val="auto"/>
                      <w:spacing w:val="0"/>
                      <w:sz w:val="21"/>
                      <w:szCs w:val="21"/>
                      <w:highlight w:val="none"/>
                    </w:rPr>
                    <w:t>旋风除尘器+布袋除尘器+双碱法脱硫塔</w:t>
                  </w:r>
                </w:p>
              </w:tc>
              <w:tc>
                <w:tcPr>
                  <w:tcW w:w="718" w:type="dxa"/>
                  <w:shd w:val="clear" w:color="auto" w:fill="auto"/>
                  <w:noWrap w:val="0"/>
                  <w:tcMar>
                    <w:left w:w="28" w:type="dxa"/>
                    <w:right w:w="28"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kern w:val="2"/>
                      <w:sz w:val="21"/>
                      <w:szCs w:val="21"/>
                      <w:highlight w:val="none"/>
                      <w:lang w:val="en-US" w:eastAsia="zh-CN" w:bidi="ar-SA"/>
                    </w:rPr>
                  </w:pPr>
                  <w:r>
                    <w:rPr>
                      <w:rFonts w:hint="eastAsia" w:cs="Times New Roman"/>
                      <w:bCs/>
                      <w:color w:val="0000FF"/>
                      <w:spacing w:val="0"/>
                      <w:sz w:val="21"/>
                      <w:szCs w:val="21"/>
                      <w:highlight w:val="none"/>
                      <w:lang w:val="en-US" w:eastAsia="zh-CN"/>
                    </w:rPr>
                    <w:t>11.9</w:t>
                  </w:r>
                </w:p>
              </w:tc>
              <w:tc>
                <w:tcPr>
                  <w:tcW w:w="719" w:type="dxa"/>
                  <w:shd w:val="clear" w:color="auto" w:fill="auto"/>
                  <w:noWrap w:val="0"/>
                  <w:tcMar>
                    <w:left w:w="28" w:type="dxa"/>
                    <w:right w:w="28"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kern w:val="2"/>
                      <w:sz w:val="21"/>
                      <w:szCs w:val="21"/>
                      <w:highlight w:val="none"/>
                      <w:lang w:val="en-US" w:eastAsia="zh-CN" w:bidi="ar-SA"/>
                    </w:rPr>
                  </w:pPr>
                  <w:r>
                    <w:rPr>
                      <w:rFonts w:hint="eastAsia" w:cs="Times New Roman"/>
                      <w:bCs/>
                      <w:color w:val="0000FF"/>
                      <w:spacing w:val="0"/>
                      <w:sz w:val="21"/>
                      <w:szCs w:val="21"/>
                      <w:highlight w:val="none"/>
                      <w:lang w:val="en-US" w:eastAsia="zh-CN"/>
                    </w:rPr>
                    <w:t>0.037</w:t>
                  </w:r>
                </w:p>
              </w:tc>
              <w:tc>
                <w:tcPr>
                  <w:tcW w:w="719" w:type="dxa"/>
                  <w:shd w:val="clear" w:color="auto" w:fill="auto"/>
                  <w:noWrap w:val="0"/>
                  <w:tcMar>
                    <w:left w:w="28" w:type="dxa"/>
                    <w:right w:w="28"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kern w:val="2"/>
                      <w:sz w:val="21"/>
                      <w:szCs w:val="21"/>
                      <w:highlight w:val="none"/>
                      <w:lang w:val="en-US" w:eastAsia="zh-CN" w:bidi="ar-SA"/>
                    </w:rPr>
                  </w:pPr>
                  <w:r>
                    <w:rPr>
                      <w:rFonts w:hint="eastAsia" w:cs="Times New Roman"/>
                      <w:bCs/>
                      <w:color w:val="0000FF"/>
                      <w:spacing w:val="0"/>
                      <w:sz w:val="21"/>
                      <w:szCs w:val="21"/>
                      <w:highlight w:val="none"/>
                      <w:lang w:val="en-US" w:eastAsia="zh-CN"/>
                    </w:rPr>
                    <w:t>0.159</w:t>
                  </w:r>
                </w:p>
              </w:tc>
              <w:tc>
                <w:tcPr>
                  <w:tcW w:w="1287" w:type="dxa"/>
                  <w:vMerge w:val="restart"/>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《锅炉大气污染物排放标准》（GB13271-2014）表2新建锅炉大气污染物排放浓度限值中燃煤锅炉的排放浓度限值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8"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718"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p>
              </w:tc>
              <w:tc>
                <w:tcPr>
                  <w:tcW w:w="718" w:type="dxa"/>
                  <w:noWrap w:val="0"/>
                  <w:tcMar>
                    <w:left w:w="28" w:type="dxa"/>
                    <w:right w:w="28" w:type="dxa"/>
                  </w:tcMar>
                  <w:vAlign w:val="center"/>
                </w:tcPr>
                <w:p>
                  <w:pPr>
                    <w:pStyle w:val="2"/>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二氧化硫</w:t>
                  </w:r>
                </w:p>
              </w:tc>
              <w:tc>
                <w:tcPr>
                  <w:tcW w:w="718" w:type="dxa"/>
                  <w:noWrap w:val="0"/>
                  <w:tcMar>
                    <w:left w:w="28" w:type="dxa"/>
                    <w:right w:w="28"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eastAsia" w:cs="Times New Roman"/>
                      <w:bCs/>
                      <w:color w:val="auto"/>
                      <w:spacing w:val="0"/>
                      <w:sz w:val="21"/>
                      <w:szCs w:val="21"/>
                      <w:highlight w:val="none"/>
                      <w:lang w:val="en-US" w:eastAsia="zh-CN"/>
                    </w:rPr>
                    <w:t>272.4</w:t>
                  </w:r>
                </w:p>
              </w:tc>
              <w:tc>
                <w:tcPr>
                  <w:tcW w:w="718" w:type="dxa"/>
                  <w:noWrap w:val="0"/>
                  <w:tcMar>
                    <w:left w:w="28" w:type="dxa"/>
                    <w:right w:w="28"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eastAsia" w:cs="Times New Roman"/>
                      <w:bCs/>
                      <w:color w:val="auto"/>
                      <w:spacing w:val="0"/>
                      <w:sz w:val="21"/>
                      <w:szCs w:val="21"/>
                      <w:highlight w:val="none"/>
                      <w:lang w:val="en-US" w:eastAsia="zh-CN"/>
                    </w:rPr>
                    <w:t>3.672</w:t>
                  </w:r>
                </w:p>
              </w:tc>
              <w:tc>
                <w:tcPr>
                  <w:tcW w:w="1074"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718" w:type="dxa"/>
                  <w:shd w:val="clear" w:color="auto" w:fill="auto"/>
                  <w:noWrap w:val="0"/>
                  <w:tcMar>
                    <w:left w:w="28" w:type="dxa"/>
                    <w:right w:w="28"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kern w:val="2"/>
                      <w:sz w:val="21"/>
                      <w:szCs w:val="21"/>
                      <w:highlight w:val="none"/>
                      <w:lang w:val="en-US" w:eastAsia="zh-CN" w:bidi="ar-SA"/>
                    </w:rPr>
                  </w:pPr>
                  <w:r>
                    <w:rPr>
                      <w:rFonts w:hint="eastAsia" w:cs="Times New Roman"/>
                      <w:bCs/>
                      <w:color w:val="0000FF"/>
                      <w:spacing w:val="0"/>
                      <w:sz w:val="21"/>
                      <w:szCs w:val="21"/>
                      <w:highlight w:val="none"/>
                      <w:lang w:val="en-US" w:eastAsia="zh-CN"/>
                    </w:rPr>
                    <w:t>136.2</w:t>
                  </w:r>
                </w:p>
              </w:tc>
              <w:tc>
                <w:tcPr>
                  <w:tcW w:w="719" w:type="dxa"/>
                  <w:shd w:val="clear" w:color="auto" w:fill="auto"/>
                  <w:noWrap w:val="0"/>
                  <w:tcMar>
                    <w:left w:w="28" w:type="dxa"/>
                    <w:right w:w="28"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kern w:val="2"/>
                      <w:sz w:val="21"/>
                      <w:szCs w:val="21"/>
                      <w:highlight w:val="none"/>
                      <w:lang w:val="en-US" w:eastAsia="zh-CN" w:bidi="ar-SA"/>
                    </w:rPr>
                  </w:pPr>
                  <w:r>
                    <w:rPr>
                      <w:rFonts w:hint="eastAsia" w:cs="Times New Roman"/>
                      <w:bCs/>
                      <w:color w:val="0000FF"/>
                      <w:spacing w:val="0"/>
                      <w:sz w:val="21"/>
                      <w:szCs w:val="21"/>
                      <w:highlight w:val="none"/>
                      <w:lang w:val="en-US" w:eastAsia="zh-CN"/>
                    </w:rPr>
                    <w:t>0.425</w:t>
                  </w:r>
                </w:p>
              </w:tc>
              <w:tc>
                <w:tcPr>
                  <w:tcW w:w="719" w:type="dxa"/>
                  <w:shd w:val="clear" w:color="auto" w:fill="auto"/>
                  <w:noWrap w:val="0"/>
                  <w:tcMar>
                    <w:left w:w="28" w:type="dxa"/>
                    <w:right w:w="28"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0000FF"/>
                      <w:spacing w:val="0"/>
                      <w:kern w:val="2"/>
                      <w:sz w:val="21"/>
                      <w:szCs w:val="21"/>
                      <w:highlight w:val="none"/>
                      <w:lang w:val="en-US" w:eastAsia="zh-CN" w:bidi="ar-SA"/>
                    </w:rPr>
                  </w:pPr>
                  <w:r>
                    <w:rPr>
                      <w:rFonts w:hint="eastAsia" w:cs="Times New Roman"/>
                      <w:bCs/>
                      <w:color w:val="0000FF"/>
                      <w:spacing w:val="0"/>
                      <w:sz w:val="21"/>
                      <w:szCs w:val="21"/>
                      <w:highlight w:val="none"/>
                      <w:lang w:val="en-US" w:eastAsia="zh-CN"/>
                    </w:rPr>
                    <w:t>1.836</w:t>
                  </w:r>
                </w:p>
              </w:tc>
              <w:tc>
                <w:tcPr>
                  <w:tcW w:w="1287"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8"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718"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p>
              </w:tc>
              <w:tc>
                <w:tcPr>
                  <w:tcW w:w="718" w:type="dxa"/>
                  <w:noWrap w:val="0"/>
                  <w:tcMar>
                    <w:left w:w="28" w:type="dxa"/>
                    <w:right w:w="28" w:type="dxa"/>
                  </w:tcMar>
                  <w:vAlign w:val="center"/>
                </w:tcPr>
                <w:p>
                  <w:pPr>
                    <w:pStyle w:val="2"/>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氮氧化物</w:t>
                  </w:r>
                </w:p>
              </w:tc>
              <w:tc>
                <w:tcPr>
                  <w:tcW w:w="718" w:type="dxa"/>
                  <w:noWrap w:val="0"/>
                  <w:tcMar>
                    <w:left w:w="28" w:type="dxa"/>
                    <w:right w:w="28"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bCs/>
                      <w:color w:val="auto"/>
                      <w:spacing w:val="0"/>
                      <w:sz w:val="21"/>
                      <w:szCs w:val="21"/>
                      <w:highlight w:val="none"/>
                      <w:lang w:val="en-US" w:eastAsia="zh-CN"/>
                    </w:rPr>
                    <w:t>163.5</w:t>
                  </w:r>
                </w:p>
              </w:tc>
              <w:tc>
                <w:tcPr>
                  <w:tcW w:w="718" w:type="dxa"/>
                  <w:noWrap w:val="0"/>
                  <w:tcMar>
                    <w:left w:w="28" w:type="dxa"/>
                    <w:right w:w="28"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bCs/>
                      <w:color w:val="auto"/>
                      <w:spacing w:val="0"/>
                      <w:sz w:val="21"/>
                      <w:szCs w:val="21"/>
                      <w:highlight w:val="none"/>
                      <w:lang w:val="en-US" w:eastAsia="zh-CN"/>
                    </w:rPr>
                    <w:t>2.203</w:t>
                  </w:r>
                </w:p>
              </w:tc>
              <w:tc>
                <w:tcPr>
                  <w:tcW w:w="1074"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718" w:type="dxa"/>
                  <w:noWrap w:val="0"/>
                  <w:tcMar>
                    <w:left w:w="28" w:type="dxa"/>
                    <w:right w:w="28"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bCs/>
                      <w:color w:val="auto"/>
                      <w:spacing w:val="0"/>
                      <w:sz w:val="21"/>
                      <w:szCs w:val="21"/>
                      <w:highlight w:val="none"/>
                      <w:lang w:val="en-US" w:eastAsia="zh-CN"/>
                    </w:rPr>
                    <w:t>163.5</w:t>
                  </w:r>
                </w:p>
              </w:tc>
              <w:tc>
                <w:tcPr>
                  <w:tcW w:w="719" w:type="dxa"/>
                  <w:noWrap w:val="0"/>
                  <w:tcMar>
                    <w:left w:w="28" w:type="dxa"/>
                    <w:right w:w="28"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bCs/>
                      <w:color w:val="auto"/>
                      <w:spacing w:val="0"/>
                      <w:sz w:val="21"/>
                      <w:szCs w:val="21"/>
                      <w:highlight w:val="none"/>
                      <w:lang w:val="en-US" w:eastAsia="zh-CN"/>
                    </w:rPr>
                    <w:t>0.510</w:t>
                  </w:r>
                </w:p>
              </w:tc>
              <w:tc>
                <w:tcPr>
                  <w:tcW w:w="719" w:type="dxa"/>
                  <w:noWrap w:val="0"/>
                  <w:tcMar>
                    <w:left w:w="28" w:type="dxa"/>
                    <w:right w:w="28"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bCs/>
                      <w:color w:val="auto"/>
                      <w:spacing w:val="0"/>
                      <w:sz w:val="21"/>
                      <w:szCs w:val="21"/>
                      <w:highlight w:val="none"/>
                      <w:lang w:val="en-US" w:eastAsia="zh-CN"/>
                    </w:rPr>
                    <w:t>2.203</w:t>
                  </w:r>
                </w:p>
              </w:tc>
              <w:tc>
                <w:tcPr>
                  <w:tcW w:w="1287"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8"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718"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p>
              </w:tc>
              <w:tc>
                <w:tcPr>
                  <w:tcW w:w="718" w:type="dxa"/>
                  <w:noWrap w:val="0"/>
                  <w:tcMar>
                    <w:left w:w="28" w:type="dxa"/>
                    <w:right w:w="28" w:type="dxa"/>
                  </w:tcMar>
                  <w:vAlign w:val="center"/>
                </w:tcPr>
                <w:p>
                  <w:pPr>
                    <w:pStyle w:val="2"/>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汞及其化合物</w:t>
                  </w:r>
                </w:p>
              </w:tc>
              <w:tc>
                <w:tcPr>
                  <w:tcW w:w="718" w:type="dxa"/>
                  <w:noWrap w:val="0"/>
                  <w:tcMar>
                    <w:left w:w="28" w:type="dxa"/>
                    <w:right w:w="28"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bCs/>
                      <w:color w:val="auto"/>
                      <w:spacing w:val="0"/>
                      <w:sz w:val="21"/>
                      <w:szCs w:val="21"/>
                      <w:highlight w:val="none"/>
                      <w:lang w:val="en-US" w:eastAsia="zh-CN"/>
                    </w:rPr>
                    <w:t>0.0019</w:t>
                  </w:r>
                </w:p>
              </w:tc>
              <w:tc>
                <w:tcPr>
                  <w:tcW w:w="718" w:type="dxa"/>
                  <w:noWrap w:val="0"/>
                  <w:tcMar>
                    <w:left w:w="28" w:type="dxa"/>
                    <w:right w:w="28"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bCs/>
                      <w:color w:val="auto"/>
                      <w:spacing w:val="0"/>
                      <w:sz w:val="21"/>
                      <w:szCs w:val="21"/>
                      <w:highlight w:val="none"/>
                      <w:lang w:val="en-US" w:eastAsia="zh-CN"/>
                    </w:rPr>
                    <w:t>0.000025</w:t>
                  </w:r>
                </w:p>
              </w:tc>
              <w:tc>
                <w:tcPr>
                  <w:tcW w:w="1074"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718" w:type="dxa"/>
                  <w:noWrap w:val="0"/>
                  <w:tcMar>
                    <w:left w:w="28" w:type="dxa"/>
                    <w:right w:w="28"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bCs/>
                      <w:color w:val="auto"/>
                      <w:spacing w:val="0"/>
                      <w:sz w:val="21"/>
                      <w:szCs w:val="21"/>
                      <w:highlight w:val="none"/>
                      <w:lang w:val="en-US" w:eastAsia="zh-CN"/>
                    </w:rPr>
                    <w:t>0.0013</w:t>
                  </w:r>
                </w:p>
              </w:tc>
              <w:tc>
                <w:tcPr>
                  <w:tcW w:w="719" w:type="dxa"/>
                  <w:noWrap w:val="0"/>
                  <w:tcMar>
                    <w:left w:w="28" w:type="dxa"/>
                    <w:right w:w="28"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bCs/>
                      <w:color w:val="auto"/>
                      <w:spacing w:val="0"/>
                      <w:sz w:val="21"/>
                      <w:szCs w:val="21"/>
                      <w:highlight w:val="none"/>
                      <w:lang w:val="en-US" w:eastAsia="zh-CN"/>
                    </w:rPr>
                    <w:t>0.0000042</w:t>
                  </w:r>
                </w:p>
              </w:tc>
              <w:tc>
                <w:tcPr>
                  <w:tcW w:w="719" w:type="dxa"/>
                  <w:noWrap w:val="0"/>
                  <w:tcMar>
                    <w:left w:w="28" w:type="dxa"/>
                    <w:right w:w="28"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bCs/>
                      <w:color w:val="auto"/>
                      <w:spacing w:val="0"/>
                      <w:sz w:val="21"/>
                      <w:szCs w:val="21"/>
                      <w:highlight w:val="none"/>
                      <w:lang w:val="en-US" w:eastAsia="zh-CN"/>
                    </w:rPr>
                    <w:t>0.000018</w:t>
                  </w:r>
                </w:p>
              </w:tc>
              <w:tc>
                <w:tcPr>
                  <w:tcW w:w="1287"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8"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p>
              </w:tc>
              <w:tc>
                <w:tcPr>
                  <w:tcW w:w="718"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p>
              </w:tc>
              <w:tc>
                <w:tcPr>
                  <w:tcW w:w="718" w:type="dxa"/>
                  <w:noWrap w:val="0"/>
                  <w:tcMar>
                    <w:left w:w="28" w:type="dxa"/>
                    <w:right w:w="28" w:type="dxa"/>
                  </w:tcMar>
                  <w:vAlign w:val="center"/>
                </w:tcPr>
                <w:p>
                  <w:pPr>
                    <w:pStyle w:val="2"/>
                    <w:keepNext w:val="0"/>
                    <w:keepLines w:val="0"/>
                    <w:pageBreakBefore w:val="0"/>
                    <w:suppressLineNumbers w:val="0"/>
                    <w:kinsoku/>
                    <w:wordWrap/>
                    <w:overflowPunct/>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烟气黑度</w:t>
                  </w:r>
                </w:p>
              </w:tc>
              <w:tc>
                <w:tcPr>
                  <w:tcW w:w="718" w:type="dxa"/>
                  <w:noWrap w:val="0"/>
                  <w:tcMar>
                    <w:left w:w="28" w:type="dxa"/>
                    <w:right w:w="28"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bCs/>
                      <w:color w:val="auto"/>
                      <w:spacing w:val="0"/>
                      <w:sz w:val="21"/>
                      <w:szCs w:val="21"/>
                      <w:highlight w:val="none"/>
                    </w:rPr>
                    <w:t>--</w:t>
                  </w:r>
                </w:p>
              </w:tc>
              <w:tc>
                <w:tcPr>
                  <w:tcW w:w="718" w:type="dxa"/>
                  <w:noWrap w:val="0"/>
                  <w:tcMar>
                    <w:left w:w="28" w:type="dxa"/>
                    <w:right w:w="28"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bCs/>
                      <w:color w:val="auto"/>
                      <w:spacing w:val="0"/>
                      <w:sz w:val="21"/>
                      <w:szCs w:val="21"/>
                      <w:highlight w:val="none"/>
                    </w:rPr>
                    <w:t>--</w:t>
                  </w:r>
                </w:p>
              </w:tc>
              <w:tc>
                <w:tcPr>
                  <w:tcW w:w="1074"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c>
                <w:tcPr>
                  <w:tcW w:w="718" w:type="dxa"/>
                  <w:noWrap w:val="0"/>
                  <w:tcMar>
                    <w:left w:w="28" w:type="dxa"/>
                    <w:right w:w="28"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bCs/>
                      <w:color w:val="auto"/>
                      <w:spacing w:val="0"/>
                      <w:sz w:val="21"/>
                      <w:szCs w:val="21"/>
                      <w:highlight w:val="none"/>
                    </w:rPr>
                    <w:t>--</w:t>
                  </w:r>
                </w:p>
              </w:tc>
              <w:tc>
                <w:tcPr>
                  <w:tcW w:w="719" w:type="dxa"/>
                  <w:noWrap w:val="0"/>
                  <w:tcMar>
                    <w:left w:w="28" w:type="dxa"/>
                    <w:right w:w="28"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bCs/>
                      <w:color w:val="auto"/>
                      <w:spacing w:val="0"/>
                      <w:sz w:val="21"/>
                      <w:szCs w:val="21"/>
                      <w:highlight w:val="none"/>
                    </w:rPr>
                    <w:t>--</w:t>
                  </w:r>
                </w:p>
              </w:tc>
              <w:tc>
                <w:tcPr>
                  <w:tcW w:w="719" w:type="dxa"/>
                  <w:noWrap w:val="0"/>
                  <w:tcMar>
                    <w:left w:w="28" w:type="dxa"/>
                    <w:right w:w="28" w:type="dxa"/>
                  </w:tcMar>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bCs/>
                      <w:color w:val="auto"/>
                      <w:spacing w:val="0"/>
                      <w:sz w:val="21"/>
                      <w:szCs w:val="21"/>
                      <w:highlight w:val="none"/>
                    </w:rPr>
                    <w:t>--</w:t>
                  </w:r>
                </w:p>
              </w:tc>
              <w:tc>
                <w:tcPr>
                  <w:tcW w:w="1287" w:type="dxa"/>
                  <w:vMerge w:val="continue"/>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18"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rPr>
                    <w:t>灰渣库</w:t>
                  </w:r>
                </w:p>
              </w:tc>
              <w:tc>
                <w:tcPr>
                  <w:tcW w:w="718"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eastAsia="zh-CN"/>
                    </w:rPr>
                    <w:t>无组织</w:t>
                  </w:r>
                </w:p>
              </w:tc>
              <w:tc>
                <w:tcPr>
                  <w:tcW w:w="718"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eastAsia="zh-CN"/>
                    </w:rPr>
                    <w:t>颗粒物</w:t>
                  </w:r>
                </w:p>
              </w:tc>
              <w:tc>
                <w:tcPr>
                  <w:tcW w:w="718"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w:t>
                  </w:r>
                </w:p>
              </w:tc>
              <w:tc>
                <w:tcPr>
                  <w:tcW w:w="718"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0.004</w:t>
                  </w:r>
                </w:p>
              </w:tc>
              <w:tc>
                <w:tcPr>
                  <w:tcW w:w="1074"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灰渣库</w:t>
                  </w:r>
                </w:p>
              </w:tc>
              <w:tc>
                <w:tcPr>
                  <w:tcW w:w="718"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w:t>
                  </w:r>
                </w:p>
              </w:tc>
              <w:tc>
                <w:tcPr>
                  <w:tcW w:w="719"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w:t>
                  </w:r>
                </w:p>
              </w:tc>
              <w:tc>
                <w:tcPr>
                  <w:tcW w:w="719"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0.002</w:t>
                  </w:r>
                </w:p>
              </w:tc>
              <w:tc>
                <w:tcPr>
                  <w:tcW w:w="1287" w:type="dxa"/>
                  <w:noWrap w:val="0"/>
                  <w:tcMar>
                    <w:left w:w="28" w:type="dxa"/>
                    <w:right w:w="28" w:type="dxa"/>
                  </w:tcMar>
                  <w:vAlign w:val="center"/>
                </w:tcPr>
                <w:p>
                  <w:pPr>
                    <w:keepNext w:val="0"/>
                    <w:keepLines w:val="0"/>
                    <w:pageBreakBefore w:val="0"/>
                    <w:widowControl w:val="0"/>
                    <w:suppressLineNumbers w:val="0"/>
                    <w:shd w:val="clear"/>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auto"/>
                      <w:spacing w:val="4"/>
                      <w:sz w:val="21"/>
                      <w:szCs w:val="21"/>
                      <w:highlight w:val="none"/>
                    </w:rPr>
                    <w:t>《大气污染物综合排放限值标准》（GB16297-1996）表2新污染源大气污染物排放限值</w:t>
                  </w:r>
                  <w:r>
                    <w:rPr>
                      <w:rFonts w:hint="default" w:ascii="Times New Roman" w:hAnsi="Times New Roman" w:eastAsia="宋体" w:cs="Times New Roman"/>
                      <w:color w:val="auto"/>
                      <w:spacing w:val="4"/>
                      <w:sz w:val="21"/>
                      <w:szCs w:val="21"/>
                      <w:highlight w:val="none"/>
                      <w:lang w:eastAsia="zh-CN"/>
                    </w:rPr>
                    <w:t>中</w:t>
                  </w:r>
                  <w:r>
                    <w:rPr>
                      <w:rFonts w:hint="default" w:ascii="Times New Roman" w:hAnsi="Times New Roman" w:eastAsia="宋体" w:cs="Times New Roman"/>
                      <w:color w:val="auto"/>
                      <w:spacing w:val="4"/>
                      <w:sz w:val="21"/>
                      <w:szCs w:val="21"/>
                      <w:highlight w:val="none"/>
                    </w:rPr>
                    <w:t>无组织排放监控浓度限值</w:t>
                  </w:r>
                  <w:r>
                    <w:rPr>
                      <w:rFonts w:hint="default" w:ascii="Times New Roman" w:hAnsi="Times New Roman" w:eastAsia="宋体" w:cs="Times New Roman"/>
                      <w:color w:val="auto"/>
                      <w:spacing w:val="4"/>
                      <w:sz w:val="21"/>
                      <w:szCs w:val="21"/>
                      <w:highlight w:val="none"/>
                      <w:lang w:val="en-US" w:eastAsia="zh-CN"/>
                    </w:rPr>
                    <w:t>1.0</w:t>
                  </w:r>
                  <w:r>
                    <w:rPr>
                      <w:rFonts w:hint="default" w:ascii="Times New Roman" w:hAnsi="Times New Roman" w:eastAsia="宋体" w:cs="Times New Roman"/>
                      <w:b w:val="0"/>
                      <w:bCs w:val="0"/>
                      <w:color w:val="auto"/>
                      <w:sz w:val="21"/>
                      <w:szCs w:val="21"/>
                      <w:highlight w:val="none"/>
                      <w:lang w:val="en-US" w:eastAsia="zh-CN"/>
                    </w:rPr>
                    <w:t>mg/m</w:t>
                  </w:r>
                  <w:r>
                    <w:rPr>
                      <w:rFonts w:hint="default" w:ascii="Times New Roman" w:hAnsi="Times New Roman" w:eastAsia="宋体" w:cs="Times New Roman"/>
                      <w:b w:val="0"/>
                      <w:bCs w:val="0"/>
                      <w:color w:val="auto"/>
                      <w:sz w:val="21"/>
                      <w:szCs w:val="21"/>
                      <w:highlight w:val="none"/>
                      <w:vertAlign w:val="superscript"/>
                      <w:lang w:val="en-US" w:eastAsia="zh-CN"/>
                    </w:rPr>
                    <w:t>3</w:t>
                  </w:r>
                </w:p>
              </w:tc>
            </w:tr>
          </w:tbl>
          <w:p>
            <w:pPr>
              <w:bidi w:val="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lang w:val="en-US" w:eastAsia="zh-CN"/>
              </w:rPr>
              <w:t>1.2废气污染物防治措施可行性</w:t>
            </w:r>
          </w:p>
          <w:p>
            <w:pPr>
              <w:bidi w:val="0"/>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t>（</w:t>
            </w:r>
            <w:r>
              <w:rPr>
                <w:rFonts w:hint="default" w:ascii="Times New Roman" w:hAnsi="Times New Roman" w:eastAsia="宋体" w:cs="Times New Roman"/>
                <w:b/>
                <w:bCs/>
                <w:color w:val="auto"/>
                <w:highlight w:val="none"/>
                <w:lang w:val="en-US" w:eastAsia="zh-CN"/>
              </w:rPr>
              <w:t>1</w:t>
            </w:r>
            <w:r>
              <w:rPr>
                <w:rFonts w:hint="default" w:ascii="Times New Roman" w:hAnsi="Times New Roman" w:eastAsia="宋体" w:cs="Times New Roman"/>
                <w:b/>
                <w:bCs/>
                <w:color w:val="auto"/>
                <w:highlight w:val="none"/>
                <w:lang w:eastAsia="zh-CN"/>
              </w:rPr>
              <w:t>）可行技术</w:t>
            </w:r>
          </w:p>
          <w:p>
            <w:pPr>
              <w:bidi w:val="0"/>
              <w:ind w:left="0" w:leftChars="0" w:firstLine="0" w:firstLine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表4</w:t>
            </w:r>
            <w:r>
              <w:rPr>
                <w:rFonts w:hint="default" w:ascii="Times New Roman" w:hAnsi="Times New Roman" w:eastAsia="宋体" w:cs="Times New Roman"/>
                <w:b/>
                <w:bCs/>
                <w:color w:val="auto"/>
                <w:highlight w:val="none"/>
                <w:lang w:val="en-US" w:eastAsia="zh-CN"/>
              </w:rPr>
              <w:t>-5  生物质热水锅炉废气</w:t>
            </w:r>
            <w:r>
              <w:rPr>
                <w:rFonts w:hint="default" w:ascii="Times New Roman" w:hAnsi="Times New Roman" w:eastAsia="宋体" w:cs="Times New Roman"/>
                <w:b/>
                <w:bCs/>
                <w:color w:val="auto"/>
                <w:highlight w:val="none"/>
              </w:rPr>
              <w:t>污染防治可行技术参考表</w:t>
            </w:r>
          </w:p>
          <w:tbl>
            <w:tblPr>
              <w:tblStyle w:val="20"/>
              <w:tblW w:w="81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20"/>
              <w:gridCol w:w="1621"/>
              <w:gridCol w:w="1622"/>
              <w:gridCol w:w="1622"/>
              <w:gridCol w:w="16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63" w:type="dxa"/>
                  <w:gridSpan w:val="3"/>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w:t>
                  </w:r>
                  <w:r>
                    <w:rPr>
                      <w:rFonts w:hint="eastAsia" w:cs="Times New Roman"/>
                      <w:b/>
                      <w:bCs/>
                      <w:color w:val="auto"/>
                      <w:sz w:val="21"/>
                      <w:szCs w:val="21"/>
                      <w:highlight w:val="none"/>
                      <w:lang w:eastAsia="zh-CN"/>
                    </w:rPr>
                    <w:t>排污许可证申请与核发技术规范</w:t>
                  </w:r>
                  <w:r>
                    <w:rPr>
                      <w:rFonts w:hint="eastAsia" w:cs="Times New Roman"/>
                      <w:b/>
                      <w:bCs/>
                      <w:color w:val="auto"/>
                      <w:sz w:val="21"/>
                      <w:szCs w:val="21"/>
                      <w:highlight w:val="none"/>
                      <w:lang w:val="en-US" w:eastAsia="zh-CN"/>
                    </w:rPr>
                    <w:t xml:space="preserve"> </w:t>
                  </w:r>
                  <w:r>
                    <w:rPr>
                      <w:rFonts w:hint="eastAsia" w:cs="Times New Roman"/>
                      <w:b/>
                      <w:bCs/>
                      <w:color w:val="auto"/>
                      <w:sz w:val="21"/>
                      <w:szCs w:val="21"/>
                      <w:highlight w:val="none"/>
                      <w:lang w:eastAsia="zh-CN"/>
                    </w:rPr>
                    <w:t>锅炉</w:t>
                  </w:r>
                  <w:r>
                    <w:rPr>
                      <w:rFonts w:hint="default" w:ascii="Times New Roman" w:hAnsi="Times New Roman" w:eastAsia="宋体" w:cs="Times New Roman"/>
                      <w:b/>
                      <w:bCs/>
                      <w:color w:val="auto"/>
                      <w:sz w:val="21"/>
                      <w:szCs w:val="21"/>
                      <w:highlight w:val="none"/>
                    </w:rPr>
                    <w:t>》（HJ953-2018）要求</w:t>
                  </w:r>
                </w:p>
              </w:tc>
              <w:tc>
                <w:tcPr>
                  <w:tcW w:w="3244" w:type="dxa"/>
                  <w:gridSpan w:val="2"/>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eastAsia="zh-CN"/>
                    </w:rPr>
                    <w:t>改建项目</w:t>
                  </w:r>
                  <w:r>
                    <w:rPr>
                      <w:rFonts w:hint="default" w:ascii="Times New Roman" w:hAnsi="Times New Roman" w:eastAsia="宋体" w:cs="Times New Roman"/>
                      <w:b/>
                      <w:bCs/>
                      <w:color w:val="auto"/>
                      <w:sz w:val="21"/>
                      <w:szCs w:val="21"/>
                      <w:highlight w:val="none"/>
                    </w:rPr>
                    <w:t>设计情况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生产设施</w:t>
                  </w:r>
                </w:p>
              </w:tc>
              <w:tc>
                <w:tcPr>
                  <w:tcW w:w="1621"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污染物项目</w:t>
                  </w:r>
                </w:p>
              </w:tc>
              <w:tc>
                <w:tcPr>
                  <w:tcW w:w="162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可行技术</w:t>
                  </w:r>
                </w:p>
              </w:tc>
              <w:tc>
                <w:tcPr>
                  <w:tcW w:w="162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eastAsia="zh-CN"/>
                    </w:rPr>
                    <w:t>改建项目</w:t>
                  </w:r>
                  <w:r>
                    <w:rPr>
                      <w:rFonts w:hint="default" w:ascii="Times New Roman" w:hAnsi="Times New Roman" w:eastAsia="宋体" w:cs="Times New Roman"/>
                      <w:b/>
                      <w:bCs/>
                      <w:color w:val="auto"/>
                      <w:sz w:val="21"/>
                      <w:szCs w:val="21"/>
                      <w:highlight w:val="none"/>
                    </w:rPr>
                    <w:t>采取措施</w:t>
                  </w:r>
                </w:p>
              </w:tc>
              <w:tc>
                <w:tcPr>
                  <w:tcW w:w="162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0"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生物质热水锅炉</w:t>
                  </w:r>
                </w:p>
              </w:tc>
              <w:tc>
                <w:tcPr>
                  <w:tcW w:w="1621"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162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旋风除尘和袋式除尘组合技术</w:t>
                  </w:r>
                </w:p>
              </w:tc>
              <w:tc>
                <w:tcPr>
                  <w:tcW w:w="162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旋风除尘器+布袋除尘器</w:t>
                  </w:r>
                  <w:r>
                    <w:rPr>
                      <w:rFonts w:hint="default" w:ascii="Times New Roman" w:hAnsi="Times New Roman" w:eastAsia="宋体" w:cs="Times New Roman"/>
                      <w:bCs/>
                      <w:color w:val="auto"/>
                      <w:spacing w:val="0"/>
                      <w:sz w:val="21"/>
                      <w:szCs w:val="21"/>
                      <w:highlight w:val="none"/>
                    </w:rPr>
                    <w:t>+双碱法脱硫塔</w:t>
                  </w:r>
                </w:p>
              </w:tc>
              <w:tc>
                <w:tcPr>
                  <w:tcW w:w="162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0"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eastAsia="zh-CN"/>
                    </w:rPr>
                  </w:pPr>
                </w:p>
              </w:tc>
              <w:tc>
                <w:tcPr>
                  <w:tcW w:w="1621"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二氧化硫</w:t>
                  </w:r>
                </w:p>
              </w:tc>
              <w:tc>
                <w:tcPr>
                  <w:tcW w:w="162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62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Cs/>
                      <w:color w:val="auto"/>
                      <w:spacing w:val="0"/>
                      <w:sz w:val="21"/>
                      <w:szCs w:val="21"/>
                      <w:highlight w:val="none"/>
                    </w:rPr>
                    <w:t>双碱法脱硫塔</w:t>
                  </w:r>
                </w:p>
              </w:tc>
              <w:tc>
                <w:tcPr>
                  <w:tcW w:w="162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符合</w:t>
                  </w:r>
                </w:p>
              </w:tc>
            </w:tr>
          </w:tbl>
          <w:p>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（2）无组织排放控制要求</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Cs/>
                <w:color w:val="auto"/>
                <w:kern w:val="0"/>
                <w:sz w:val="24"/>
                <w:highlight w:val="none"/>
                <w:lang w:eastAsia="zh-CN"/>
              </w:rPr>
            </w:pPr>
            <w:r>
              <w:rPr>
                <w:rFonts w:hint="default" w:ascii="Times New Roman" w:hAnsi="Times New Roman" w:eastAsia="宋体" w:cs="Times New Roman"/>
                <w:bCs/>
                <w:color w:val="auto"/>
                <w:kern w:val="0"/>
                <w:sz w:val="24"/>
                <w:highlight w:val="none"/>
                <w:lang w:eastAsia="zh-CN"/>
              </w:rPr>
              <w:t>燃料与灰渣储存于封闭库内，属于《排污许可证申请与核发技术规范</w:t>
            </w:r>
            <w:r>
              <w:rPr>
                <w:rFonts w:hint="eastAsia" w:cs="Times New Roman"/>
                <w:bCs/>
                <w:color w:val="auto"/>
                <w:kern w:val="0"/>
                <w:sz w:val="24"/>
                <w:highlight w:val="none"/>
                <w:lang w:val="en-US" w:eastAsia="zh-CN"/>
              </w:rPr>
              <w:t xml:space="preserve"> </w:t>
            </w:r>
            <w:r>
              <w:rPr>
                <w:rFonts w:hint="default" w:ascii="Times New Roman" w:hAnsi="Times New Roman" w:eastAsia="宋体" w:cs="Times New Roman"/>
                <w:bCs/>
                <w:color w:val="auto"/>
                <w:kern w:val="0"/>
                <w:sz w:val="24"/>
                <w:highlight w:val="none"/>
                <w:lang w:eastAsia="zh-CN"/>
              </w:rPr>
              <w:t>锅炉》（HJ953-2018）中可行技术</w:t>
            </w:r>
            <w:r>
              <w:rPr>
                <w:rFonts w:hint="eastAsia" w:cs="Times New Roman"/>
                <w:bCs/>
                <w:color w:val="auto"/>
                <w:kern w:val="0"/>
                <w:sz w:val="24"/>
                <w:highlight w:val="none"/>
                <w:lang w:eastAsia="zh-CN"/>
              </w:rPr>
              <w:t>——</w:t>
            </w:r>
            <w:r>
              <w:rPr>
                <w:rFonts w:hint="default" w:ascii="Times New Roman" w:hAnsi="Times New Roman" w:eastAsia="宋体" w:cs="Times New Roman"/>
                <w:bCs/>
                <w:color w:val="auto"/>
                <w:kern w:val="0"/>
                <w:sz w:val="24"/>
                <w:highlight w:val="none"/>
                <w:lang w:eastAsia="zh-CN"/>
              </w:rPr>
              <w:t>密闭措施。</w:t>
            </w:r>
          </w:p>
          <w:p>
            <w:pPr>
              <w:keepNext w:val="0"/>
              <w:keepLines w:val="0"/>
              <w:pageBreakBefore w:val="0"/>
              <w:widowControl w:val="0"/>
              <w:suppressLineNumbers w:val="0"/>
              <w:shd w:val="clear"/>
              <w:kinsoku/>
              <w:wordWrap/>
              <w:overflowPunct/>
              <w:topLinePunct w:val="0"/>
              <w:bidi w:val="0"/>
              <w:spacing w:before="0" w:beforeAutospacing="0" w:after="0" w:afterAutospacing="0" w:line="360" w:lineRule="auto"/>
              <w:ind w:left="0" w:leftChars="0" w:right="0" w:rightChars="0" w:firstLine="480" w:firstLineChars="200"/>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val="0"/>
                <w:bCs w:val="0"/>
                <w:color w:val="auto"/>
                <w:sz w:val="24"/>
                <w:szCs w:val="24"/>
                <w:highlight w:val="none"/>
                <w:lang w:eastAsia="zh-CN"/>
              </w:rPr>
              <w:t>因此，</w:t>
            </w:r>
            <w:r>
              <w:rPr>
                <w:rFonts w:hint="default" w:ascii="Times New Roman" w:hAnsi="Times New Roman" w:eastAsia="宋体" w:cs="Times New Roman"/>
                <w:b w:val="0"/>
                <w:bCs w:val="0"/>
                <w:color w:val="auto"/>
                <w:sz w:val="24"/>
                <w:szCs w:val="24"/>
                <w:highlight w:val="none"/>
                <w:lang w:val="en-US" w:eastAsia="zh-CN"/>
              </w:rPr>
              <w:t>改建项目废气</w:t>
            </w:r>
            <w:r>
              <w:rPr>
                <w:rFonts w:hint="default" w:ascii="Times New Roman" w:hAnsi="Times New Roman" w:eastAsia="宋体" w:cs="Times New Roman"/>
                <w:b w:val="0"/>
                <w:bCs w:val="0"/>
                <w:color w:val="auto"/>
                <w:sz w:val="24"/>
                <w:szCs w:val="24"/>
                <w:highlight w:val="none"/>
              </w:rPr>
              <w:t>治理措施可行</w:t>
            </w:r>
            <w:r>
              <w:rPr>
                <w:rFonts w:hint="default" w:ascii="Times New Roman" w:hAnsi="Times New Roman" w:eastAsia="宋体" w:cs="Times New Roman"/>
                <w:b w:val="0"/>
                <w:bCs w:val="0"/>
                <w:color w:val="auto"/>
                <w:sz w:val="24"/>
                <w:szCs w:val="24"/>
                <w:highlight w:val="none"/>
                <w:lang w:eastAsia="zh-CN"/>
              </w:rPr>
              <w:t>。</w:t>
            </w:r>
          </w:p>
          <w:p>
            <w:pPr>
              <w:keepNext w:val="0"/>
              <w:keepLines w:val="0"/>
              <w:pageBreakBefore w:val="0"/>
              <w:widowControl w:val="0"/>
              <w:suppressLineNumbers w:val="0"/>
              <w:shd w:val="clear"/>
              <w:kinsoku/>
              <w:wordWrap/>
              <w:overflowPunct/>
              <w:topLinePunct w:val="0"/>
              <w:bidi w:val="0"/>
              <w:spacing w:before="0" w:beforeAutospacing="0" w:after="0" w:afterAutospacing="0" w:line="360" w:lineRule="auto"/>
              <w:ind w:left="0" w:leftChars="0" w:right="0" w:rightChars="0" w:firstLine="482" w:firstLineChars="200"/>
              <w:textAlignment w:val="auto"/>
              <w:rPr>
                <w:rFonts w:hint="default" w:ascii="Times New Roman" w:hAnsi="Times New Roman" w:eastAsia="宋体" w:cs="Times New Roman"/>
                <w:b/>
                <w:bCs/>
                <w:color w:val="auto"/>
                <w:sz w:val="24"/>
                <w:highlight w:val="none"/>
                <w:lang w:val="en-US"/>
              </w:rPr>
            </w:pPr>
            <w:r>
              <w:rPr>
                <w:rFonts w:hint="default" w:ascii="Times New Roman" w:hAnsi="Times New Roman" w:eastAsia="宋体" w:cs="Times New Roman"/>
                <w:b/>
                <w:bCs/>
                <w:color w:val="auto"/>
                <w:sz w:val="24"/>
                <w:highlight w:val="none"/>
                <w:lang w:val="en-US" w:eastAsia="zh-CN"/>
              </w:rPr>
              <w:t>1.3废气监测</w:t>
            </w:r>
            <w:r>
              <w:rPr>
                <w:rFonts w:hint="default" w:ascii="Times New Roman" w:hAnsi="Times New Roman" w:eastAsia="宋体" w:cs="Times New Roman"/>
                <w:b/>
                <w:bCs/>
                <w:color w:val="auto"/>
                <w:sz w:val="24"/>
                <w:highlight w:val="none"/>
              </w:rPr>
              <w:t>计划</w:t>
            </w:r>
          </w:p>
          <w:p>
            <w:pPr>
              <w:keepNext w:val="0"/>
              <w:keepLines w:val="0"/>
              <w:pageBreakBefore w:val="0"/>
              <w:widowControl w:val="0"/>
              <w:suppressLineNumbers w:val="0"/>
              <w:shd w:val="clear"/>
              <w:kinsoku/>
              <w:wordWrap/>
              <w:overflowPunct/>
              <w:topLinePunct w:val="0"/>
              <w:bidi w:val="0"/>
              <w:spacing w:before="0" w:beforeAutospacing="0" w:after="0" w:afterAutospacing="0"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w:t>
            </w:r>
            <w:r>
              <w:rPr>
                <w:rFonts w:hint="default" w:ascii="Times New Roman" w:hAnsi="Times New Roman" w:eastAsia="宋体" w:cs="Times New Roman"/>
                <w:bCs/>
                <w:color w:val="auto"/>
                <w:kern w:val="0"/>
                <w:sz w:val="24"/>
                <w:highlight w:val="none"/>
                <w:lang w:eastAsia="zh-CN"/>
              </w:rPr>
              <w:t>《排污许可证申请与核发技术规范</w:t>
            </w:r>
            <w:r>
              <w:rPr>
                <w:rFonts w:hint="eastAsia" w:cs="Times New Roman"/>
                <w:bCs/>
                <w:color w:val="auto"/>
                <w:kern w:val="0"/>
                <w:sz w:val="24"/>
                <w:highlight w:val="none"/>
                <w:lang w:val="en-US" w:eastAsia="zh-CN"/>
              </w:rPr>
              <w:t xml:space="preserve"> </w:t>
            </w:r>
            <w:r>
              <w:rPr>
                <w:rFonts w:hint="default" w:ascii="Times New Roman" w:hAnsi="Times New Roman" w:eastAsia="宋体" w:cs="Times New Roman"/>
                <w:bCs/>
                <w:color w:val="auto"/>
                <w:kern w:val="0"/>
                <w:sz w:val="24"/>
                <w:highlight w:val="none"/>
                <w:lang w:eastAsia="zh-CN"/>
              </w:rPr>
              <w:t>锅炉》（HJ953-2018）、《</w:t>
            </w:r>
            <w:r>
              <w:rPr>
                <w:rFonts w:hint="default" w:ascii="Times New Roman" w:hAnsi="Times New Roman" w:eastAsia="宋体" w:cs="Times New Roman"/>
                <w:bCs/>
                <w:color w:val="auto"/>
                <w:kern w:val="0"/>
                <w:sz w:val="24"/>
                <w:highlight w:val="none"/>
                <w:lang w:val="en-US" w:eastAsia="zh-CN"/>
              </w:rPr>
              <w:t>排污单位自行监测技术指南</w:t>
            </w:r>
            <w:r>
              <w:rPr>
                <w:rFonts w:hint="eastAsia" w:cs="Times New Roman"/>
                <w:bCs/>
                <w:color w:val="auto"/>
                <w:kern w:val="0"/>
                <w:sz w:val="24"/>
                <w:highlight w:val="none"/>
                <w:lang w:val="en-US" w:eastAsia="zh-CN"/>
              </w:rPr>
              <w:t xml:space="preserve"> </w:t>
            </w:r>
            <w:r>
              <w:rPr>
                <w:rFonts w:hint="default" w:ascii="Times New Roman" w:hAnsi="Times New Roman" w:eastAsia="宋体" w:cs="Times New Roman"/>
                <w:bCs/>
                <w:color w:val="auto"/>
                <w:kern w:val="0"/>
                <w:sz w:val="24"/>
                <w:highlight w:val="none"/>
                <w:lang w:val="en-US" w:eastAsia="zh-CN"/>
              </w:rPr>
              <w:t>火力发电及锅炉</w:t>
            </w:r>
            <w:r>
              <w:rPr>
                <w:rFonts w:hint="default" w:ascii="Times New Roman" w:hAnsi="Times New Roman" w:eastAsia="宋体" w:cs="Times New Roman"/>
                <w:bCs/>
                <w:color w:val="auto"/>
                <w:kern w:val="0"/>
                <w:sz w:val="24"/>
                <w:highlight w:val="none"/>
                <w:lang w:eastAsia="zh-CN"/>
              </w:rPr>
              <w:t>》（</w:t>
            </w:r>
            <w:r>
              <w:rPr>
                <w:rFonts w:hint="default" w:ascii="Times New Roman" w:hAnsi="Times New Roman" w:eastAsia="宋体" w:cs="Times New Roman"/>
                <w:bCs/>
                <w:color w:val="auto"/>
                <w:kern w:val="0"/>
                <w:sz w:val="24"/>
                <w:highlight w:val="none"/>
                <w:lang w:val="en-US" w:eastAsia="zh-CN"/>
              </w:rPr>
              <w:t>HJ820-2017</w:t>
            </w:r>
            <w:r>
              <w:rPr>
                <w:rFonts w:hint="default" w:ascii="Times New Roman" w:hAnsi="Times New Roman" w:eastAsia="宋体" w:cs="Times New Roman"/>
                <w:bCs/>
                <w:color w:val="auto"/>
                <w:kern w:val="0"/>
                <w:sz w:val="24"/>
                <w:highlight w:val="none"/>
                <w:lang w:eastAsia="zh-CN"/>
              </w:rPr>
              <w:t>）</w:t>
            </w:r>
            <w:r>
              <w:rPr>
                <w:rFonts w:hint="default" w:ascii="Times New Roman" w:hAnsi="Times New Roman" w:eastAsia="宋体" w:cs="Times New Roman"/>
                <w:color w:val="auto"/>
                <w:sz w:val="24"/>
                <w:highlight w:val="none"/>
              </w:rPr>
              <w:t>要求</w:t>
            </w:r>
            <w:r>
              <w:rPr>
                <w:rFonts w:hint="default" w:ascii="Times New Roman" w:hAnsi="Times New Roman" w:eastAsia="宋体" w:cs="Times New Roman"/>
                <w:color w:val="auto"/>
                <w:sz w:val="24"/>
                <w:highlight w:val="none"/>
                <w:lang w:eastAsia="zh-CN"/>
              </w:rPr>
              <w:t>，改建项目</w:t>
            </w:r>
            <w:r>
              <w:rPr>
                <w:rFonts w:hint="default" w:ascii="Times New Roman" w:hAnsi="Times New Roman" w:eastAsia="宋体" w:cs="Times New Roman"/>
                <w:color w:val="auto"/>
                <w:sz w:val="24"/>
                <w:highlight w:val="none"/>
                <w:lang w:val="en-US" w:eastAsia="zh-CN"/>
              </w:rPr>
              <w:t>废气</w:t>
            </w:r>
            <w:r>
              <w:rPr>
                <w:rFonts w:hint="default" w:ascii="Times New Roman" w:hAnsi="Times New Roman" w:eastAsia="宋体" w:cs="Times New Roman"/>
                <w:color w:val="auto"/>
                <w:sz w:val="24"/>
                <w:highlight w:val="none"/>
              </w:rPr>
              <w:t>监测计划如下：</w:t>
            </w:r>
          </w:p>
          <w:p>
            <w:pPr>
              <w:keepNext w:val="0"/>
              <w:keepLines w:val="0"/>
              <w:pageBreakBefore w:val="0"/>
              <w:widowControl w:val="0"/>
              <w:suppressLineNumbers w:val="0"/>
              <w:shd w:val="clear"/>
              <w:kinsoku/>
              <w:wordWrap/>
              <w:overflowPunct/>
              <w:topLinePunct w:val="0"/>
              <w:bidi w:val="0"/>
              <w:spacing w:before="0" w:beforeAutospacing="0" w:after="0" w:afterAutospacing="0" w:line="360" w:lineRule="auto"/>
              <w:ind w:left="0" w:leftChars="0" w:right="0" w:rightChars="0" w:firstLine="482" w:firstLineChars="200"/>
              <w:jc w:val="center"/>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w:t>
            </w:r>
            <w:r>
              <w:rPr>
                <w:rFonts w:hint="default" w:ascii="Times New Roman" w:hAnsi="Times New Roman" w:eastAsia="宋体" w:cs="Times New Roman"/>
                <w:b/>
                <w:bCs/>
                <w:color w:val="auto"/>
                <w:sz w:val="24"/>
                <w:highlight w:val="none"/>
                <w:lang w:val="en-US" w:eastAsia="zh-CN"/>
              </w:rPr>
              <w:t xml:space="preserve">4-6  </w:t>
            </w:r>
            <w:r>
              <w:rPr>
                <w:rFonts w:hint="default" w:ascii="Times New Roman" w:hAnsi="Times New Roman" w:eastAsia="宋体" w:cs="Times New Roman"/>
                <w:b/>
                <w:bCs/>
                <w:color w:val="auto"/>
                <w:sz w:val="24"/>
                <w:highlight w:val="none"/>
              </w:rPr>
              <w:t>环境监测工作内容一览表</w:t>
            </w:r>
          </w:p>
          <w:tbl>
            <w:tblPr>
              <w:tblStyle w:val="19"/>
              <w:tblW w:w="81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91"/>
              <w:gridCol w:w="1524"/>
              <w:gridCol w:w="1158"/>
              <w:gridCol w:w="1159"/>
              <w:gridCol w:w="34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808" w:type="dxa"/>
                  <w:noWrap w:val="0"/>
                  <w:tcMar>
                    <w:left w:w="0" w:type="dxa"/>
                    <w:right w:w="0" w:type="dxa"/>
                  </w:tcMar>
                  <w:vAlign w:val="center"/>
                </w:tcPr>
                <w:p>
                  <w:pPr>
                    <w:keepNext w:val="0"/>
                    <w:keepLines w:val="0"/>
                    <w:pageBreakBefore w:val="0"/>
                    <w:suppressLineNumbers w:val="0"/>
                    <w:shd w:val="clear"/>
                    <w:kinsoku/>
                    <w:wordWrap/>
                    <w:overflowPunct/>
                    <w:topLinePunct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要素</w:t>
                  </w:r>
                </w:p>
              </w:tc>
              <w:tc>
                <w:tcPr>
                  <w:tcW w:w="1556" w:type="dxa"/>
                  <w:noWrap w:val="0"/>
                  <w:tcMar>
                    <w:left w:w="0" w:type="dxa"/>
                    <w:right w:w="0" w:type="dxa"/>
                  </w:tcMar>
                  <w:vAlign w:val="center"/>
                </w:tcPr>
                <w:p>
                  <w:pPr>
                    <w:keepNext w:val="0"/>
                    <w:keepLines w:val="0"/>
                    <w:pageBreakBefore w:val="0"/>
                    <w:suppressLineNumbers w:val="0"/>
                    <w:shd w:val="clear"/>
                    <w:kinsoku/>
                    <w:wordWrap/>
                    <w:overflowPunct/>
                    <w:topLinePunct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监测点位</w:t>
                  </w:r>
                </w:p>
              </w:tc>
              <w:tc>
                <w:tcPr>
                  <w:tcW w:w="1182" w:type="dxa"/>
                  <w:noWrap w:val="0"/>
                  <w:tcMar>
                    <w:left w:w="0" w:type="dxa"/>
                    <w:right w:w="0" w:type="dxa"/>
                  </w:tcMar>
                  <w:vAlign w:val="center"/>
                </w:tcPr>
                <w:p>
                  <w:pPr>
                    <w:keepNext w:val="0"/>
                    <w:keepLines w:val="0"/>
                    <w:pageBreakBefore w:val="0"/>
                    <w:suppressLineNumbers w:val="0"/>
                    <w:shd w:val="clear"/>
                    <w:kinsoku/>
                    <w:wordWrap/>
                    <w:overflowPunct/>
                    <w:topLinePunct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监测项目</w:t>
                  </w:r>
                </w:p>
              </w:tc>
              <w:tc>
                <w:tcPr>
                  <w:tcW w:w="1183" w:type="dxa"/>
                  <w:noWrap w:val="0"/>
                  <w:tcMar>
                    <w:left w:w="0" w:type="dxa"/>
                    <w:right w:w="0" w:type="dxa"/>
                  </w:tcMar>
                  <w:vAlign w:val="center"/>
                </w:tcPr>
                <w:p>
                  <w:pPr>
                    <w:keepNext w:val="0"/>
                    <w:keepLines w:val="0"/>
                    <w:pageBreakBefore w:val="0"/>
                    <w:suppressLineNumbers w:val="0"/>
                    <w:shd w:val="clear"/>
                    <w:kinsoku/>
                    <w:wordWrap/>
                    <w:overflowPunct/>
                    <w:topLinePunct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监测频次</w:t>
                  </w:r>
                </w:p>
              </w:tc>
              <w:tc>
                <w:tcPr>
                  <w:tcW w:w="3548" w:type="dxa"/>
                  <w:noWrap w:val="0"/>
                  <w:tcMar>
                    <w:left w:w="0" w:type="dxa"/>
                    <w:right w:w="0" w:type="dxa"/>
                  </w:tcMar>
                  <w:vAlign w:val="center"/>
                </w:tcPr>
                <w:p>
                  <w:pPr>
                    <w:keepNext w:val="0"/>
                    <w:keepLines w:val="0"/>
                    <w:pageBreakBefore w:val="0"/>
                    <w:suppressLineNumbers w:val="0"/>
                    <w:shd w:val="clear"/>
                    <w:kinsoku/>
                    <w:wordWrap/>
                    <w:overflowPunct/>
                    <w:topLinePunct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808" w:type="dxa"/>
                  <w:vMerge w:val="restart"/>
                  <w:noWrap w:val="0"/>
                  <w:tcMar>
                    <w:left w:w="0" w:type="dxa"/>
                    <w:right w:w="0" w:type="dxa"/>
                  </w:tcMar>
                  <w:vAlign w:val="center"/>
                </w:tcPr>
                <w:p>
                  <w:pPr>
                    <w:keepNext w:val="0"/>
                    <w:keepLines w:val="0"/>
                    <w:pageBreakBefore w:val="0"/>
                    <w:suppressLineNumbers w:val="0"/>
                    <w:shd w:val="clear"/>
                    <w:kinsoku/>
                    <w:wordWrap/>
                    <w:overflowPunct/>
                    <w:topLinePunct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废气</w:t>
                  </w:r>
                </w:p>
              </w:tc>
              <w:tc>
                <w:tcPr>
                  <w:tcW w:w="1556" w:type="dxa"/>
                  <w:noWrap w:val="0"/>
                  <w:tcMar>
                    <w:left w:w="0" w:type="dxa"/>
                    <w:right w:w="0" w:type="dxa"/>
                  </w:tcMar>
                  <w:vAlign w:val="center"/>
                </w:tcPr>
                <w:p>
                  <w:pPr>
                    <w:keepNext w:val="0"/>
                    <w:keepLines w:val="0"/>
                    <w:pageBreakBefore w:val="0"/>
                    <w:suppressLineNumbers w:val="0"/>
                    <w:tabs>
                      <w:tab w:val="center" w:pos="4153"/>
                      <w:tab w:val="right" w:pos="8306"/>
                    </w:tabs>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生物质热水锅炉</w:t>
                  </w:r>
                  <w:r>
                    <w:rPr>
                      <w:rFonts w:hint="default" w:ascii="Times New Roman" w:hAnsi="Times New Roman" w:eastAsia="宋体" w:cs="Times New Roman"/>
                      <w:color w:val="auto"/>
                      <w:sz w:val="21"/>
                      <w:szCs w:val="21"/>
                      <w:highlight w:val="none"/>
                      <w:lang w:val="en-US" w:eastAsia="zh-CN"/>
                    </w:rPr>
                    <w:t>40</w:t>
                  </w:r>
                  <w:r>
                    <w:rPr>
                      <w:rFonts w:hint="default" w:ascii="Times New Roman" w:hAnsi="Times New Roman" w:eastAsia="宋体" w:cs="Times New Roman"/>
                      <w:color w:val="auto"/>
                      <w:sz w:val="21"/>
                      <w:szCs w:val="21"/>
                      <w:highlight w:val="none"/>
                      <w:lang w:eastAsia="zh-CN"/>
                    </w:rPr>
                    <w:t>m</w:t>
                  </w:r>
                  <w:r>
                    <w:rPr>
                      <w:rFonts w:hint="default" w:ascii="Times New Roman" w:hAnsi="Times New Roman" w:eastAsia="宋体" w:cs="Times New Roman"/>
                      <w:color w:val="auto"/>
                      <w:sz w:val="21"/>
                      <w:szCs w:val="21"/>
                      <w:highlight w:val="none"/>
                    </w:rPr>
                    <w:t>高排气筒</w:t>
                  </w:r>
                </w:p>
              </w:tc>
              <w:tc>
                <w:tcPr>
                  <w:tcW w:w="1182" w:type="dxa"/>
                  <w:noWrap w:val="0"/>
                  <w:tcMar>
                    <w:left w:w="0" w:type="dxa"/>
                    <w:right w:w="0" w:type="dxa"/>
                  </w:tcMar>
                  <w:vAlign w:val="center"/>
                </w:tcPr>
                <w:p>
                  <w:pPr>
                    <w:keepNext w:val="0"/>
                    <w:keepLines w:val="0"/>
                    <w:pageBreakBefore w:val="0"/>
                    <w:suppressLineNumbers w:val="0"/>
                    <w:tabs>
                      <w:tab w:val="center" w:pos="4153"/>
                      <w:tab w:val="right" w:pos="8306"/>
                    </w:tabs>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X</w:t>
                  </w:r>
                  <w:r>
                    <w:rPr>
                      <w:rFonts w:hint="default" w:ascii="Times New Roman" w:hAnsi="Times New Roman" w:eastAsia="宋体" w:cs="Times New Roman"/>
                      <w:color w:val="auto"/>
                      <w:sz w:val="21"/>
                      <w:szCs w:val="21"/>
                      <w:highlight w:val="none"/>
                    </w:rPr>
                    <w:t>、颗粒物、汞及其化合物、</w:t>
                  </w:r>
                  <w:r>
                    <w:rPr>
                      <w:rFonts w:hint="default" w:ascii="Times New Roman" w:hAnsi="Times New Roman" w:eastAsia="宋体" w:cs="Times New Roman"/>
                      <w:bCs/>
                      <w:color w:val="auto"/>
                      <w:spacing w:val="0"/>
                      <w:sz w:val="21"/>
                      <w:szCs w:val="21"/>
                      <w:highlight w:val="none"/>
                    </w:rPr>
                    <w:t>烟气黑度</w:t>
                  </w:r>
                </w:p>
              </w:tc>
              <w:tc>
                <w:tcPr>
                  <w:tcW w:w="1183" w:type="dxa"/>
                  <w:noWrap w:val="0"/>
                  <w:tcMar>
                    <w:left w:w="0" w:type="dxa"/>
                    <w:right w:w="0" w:type="dxa"/>
                  </w:tcMar>
                  <w:vAlign w:val="center"/>
                </w:tcPr>
                <w:p>
                  <w:pPr>
                    <w:keepNext w:val="0"/>
                    <w:keepLines w:val="0"/>
                    <w:pageBreakBefore w:val="0"/>
                    <w:suppressLineNumbers w:val="0"/>
                    <w:tabs>
                      <w:tab w:val="center" w:pos="4153"/>
                      <w:tab w:val="right" w:pos="8306"/>
                    </w:tabs>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1次/月</w:t>
                  </w:r>
                </w:p>
              </w:tc>
              <w:tc>
                <w:tcPr>
                  <w:tcW w:w="3548" w:type="dxa"/>
                  <w:noWrap w:val="0"/>
                  <w:tcMar>
                    <w:left w:w="0" w:type="dxa"/>
                    <w:right w:w="0" w:type="dxa"/>
                  </w:tcMar>
                  <w:vAlign w:val="center"/>
                </w:tcPr>
                <w:p>
                  <w:pPr>
                    <w:keepNext w:val="0"/>
                    <w:keepLines w:val="0"/>
                    <w:pageBreakBefore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《锅炉大气污染物排放标准》（GB13271-2014）表2新建锅炉大气污染物排放浓度限值中燃煤锅炉的排放浓度限值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808" w:type="dxa"/>
                  <w:vMerge w:val="continue"/>
                  <w:noWrap w:val="0"/>
                  <w:tcMar>
                    <w:left w:w="0" w:type="dxa"/>
                    <w:right w:w="0" w:type="dxa"/>
                  </w:tcMar>
                  <w:vAlign w:val="center"/>
                </w:tcPr>
                <w:p>
                  <w:pPr>
                    <w:keepNext w:val="0"/>
                    <w:keepLines w:val="0"/>
                    <w:pageBreakBefore w:val="0"/>
                    <w:suppressLineNumbers w:val="0"/>
                    <w:shd w:val="clear"/>
                    <w:kinsoku/>
                    <w:wordWrap/>
                    <w:overflowPunct/>
                    <w:topLinePunct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556" w:type="dxa"/>
                  <w:noWrap w:val="0"/>
                  <w:tcMar>
                    <w:left w:w="0" w:type="dxa"/>
                    <w:right w:w="0" w:type="dxa"/>
                  </w:tcMar>
                  <w:vAlign w:val="center"/>
                </w:tcPr>
                <w:p>
                  <w:pPr>
                    <w:keepNext w:val="0"/>
                    <w:keepLines w:val="0"/>
                    <w:pageBreakBefore w:val="0"/>
                    <w:suppressLineNumbers w:val="0"/>
                    <w:shd w:val="clear"/>
                    <w:kinsoku/>
                    <w:wordWrap/>
                    <w:overflowPunct/>
                    <w:topLinePunct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厂界</w:t>
                  </w:r>
                </w:p>
              </w:tc>
              <w:tc>
                <w:tcPr>
                  <w:tcW w:w="1182" w:type="dxa"/>
                  <w:noWrap w:val="0"/>
                  <w:tcMar>
                    <w:left w:w="0" w:type="dxa"/>
                    <w:right w:w="0" w:type="dxa"/>
                  </w:tcMar>
                  <w:vAlign w:val="center"/>
                </w:tcPr>
                <w:p>
                  <w:pPr>
                    <w:keepNext w:val="0"/>
                    <w:keepLines w:val="0"/>
                    <w:pageBreakBefore w:val="0"/>
                    <w:suppressLineNumbers w:val="0"/>
                    <w:shd w:val="clear"/>
                    <w:kinsoku/>
                    <w:wordWrap/>
                    <w:overflowPunct/>
                    <w:topLinePunct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颗粒物</w:t>
                  </w:r>
                </w:p>
              </w:tc>
              <w:tc>
                <w:tcPr>
                  <w:tcW w:w="1183" w:type="dxa"/>
                  <w:noWrap w:val="0"/>
                  <w:tcMar>
                    <w:left w:w="0" w:type="dxa"/>
                    <w:right w:w="0" w:type="dxa"/>
                  </w:tcMar>
                  <w:vAlign w:val="center"/>
                </w:tcPr>
                <w:p>
                  <w:pPr>
                    <w:keepNext w:val="0"/>
                    <w:keepLines w:val="0"/>
                    <w:pageBreakBefore w:val="0"/>
                    <w:suppressLineNumbers w:val="0"/>
                    <w:shd w:val="clear"/>
                    <w:kinsoku/>
                    <w:wordWrap/>
                    <w:overflowPunct/>
                    <w:topLinePunct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每</w:t>
                  </w:r>
                  <w:r>
                    <w:rPr>
                      <w:rFonts w:hint="default" w:ascii="Times New Roman" w:hAnsi="Times New Roman" w:eastAsia="宋体" w:cs="Times New Roman"/>
                      <w:color w:val="auto"/>
                      <w:sz w:val="21"/>
                      <w:szCs w:val="21"/>
                      <w:highlight w:val="none"/>
                      <w:lang w:eastAsia="zh-CN"/>
                    </w:rPr>
                    <w:t>季度</w:t>
                  </w:r>
                  <w:r>
                    <w:rPr>
                      <w:rFonts w:hint="default" w:ascii="Times New Roman" w:hAnsi="Times New Roman" w:eastAsia="宋体" w:cs="Times New Roman"/>
                      <w:color w:val="auto"/>
                      <w:sz w:val="21"/>
                      <w:szCs w:val="21"/>
                      <w:highlight w:val="none"/>
                    </w:rPr>
                    <w:t>1次</w:t>
                  </w:r>
                </w:p>
              </w:tc>
              <w:tc>
                <w:tcPr>
                  <w:tcW w:w="3548" w:type="dxa"/>
                  <w:noWrap w:val="0"/>
                  <w:tcMar>
                    <w:left w:w="0" w:type="dxa"/>
                    <w:right w:w="0" w:type="dxa"/>
                  </w:tcMar>
                  <w:vAlign w:val="center"/>
                </w:tcPr>
                <w:p>
                  <w:pPr>
                    <w:keepNext w:val="0"/>
                    <w:keepLines w:val="0"/>
                    <w:pageBreakBefore w:val="0"/>
                    <w:widowControl/>
                    <w:suppressLineNumbers w:val="0"/>
                    <w:shd w:val="clear"/>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pacing w:val="4"/>
                      <w:sz w:val="21"/>
                      <w:szCs w:val="21"/>
                      <w:highlight w:val="none"/>
                    </w:rPr>
                    <w:t>《大气污染物综合排放限值标准》（GB16297-1996）表2新污染源大气污染物排放限值</w:t>
                  </w:r>
                  <w:r>
                    <w:rPr>
                      <w:rFonts w:hint="default" w:ascii="Times New Roman" w:hAnsi="Times New Roman" w:eastAsia="宋体" w:cs="Times New Roman"/>
                      <w:color w:val="auto"/>
                      <w:spacing w:val="4"/>
                      <w:sz w:val="21"/>
                      <w:szCs w:val="21"/>
                      <w:highlight w:val="none"/>
                      <w:lang w:eastAsia="zh-CN"/>
                    </w:rPr>
                    <w:t>中</w:t>
                  </w:r>
                  <w:r>
                    <w:rPr>
                      <w:rFonts w:hint="default" w:ascii="Times New Roman" w:hAnsi="Times New Roman" w:eastAsia="宋体" w:cs="Times New Roman"/>
                      <w:color w:val="auto"/>
                      <w:spacing w:val="4"/>
                      <w:sz w:val="21"/>
                      <w:szCs w:val="21"/>
                      <w:highlight w:val="none"/>
                    </w:rPr>
                    <w:t>无组织排放监控浓度限值</w:t>
                  </w:r>
                  <w:r>
                    <w:rPr>
                      <w:rFonts w:hint="default" w:ascii="Times New Roman" w:hAnsi="Times New Roman" w:eastAsia="宋体" w:cs="Times New Roman"/>
                      <w:color w:val="auto"/>
                      <w:spacing w:val="4"/>
                      <w:sz w:val="21"/>
                      <w:szCs w:val="21"/>
                      <w:highlight w:val="none"/>
                      <w:lang w:val="en-US" w:eastAsia="zh-CN"/>
                    </w:rPr>
                    <w:t>1.0</w:t>
                  </w:r>
                  <w:r>
                    <w:rPr>
                      <w:rFonts w:hint="default" w:ascii="Times New Roman" w:hAnsi="Times New Roman" w:eastAsia="宋体" w:cs="Times New Roman"/>
                      <w:b w:val="0"/>
                      <w:bCs w:val="0"/>
                      <w:color w:val="auto"/>
                      <w:sz w:val="21"/>
                      <w:szCs w:val="21"/>
                      <w:highlight w:val="none"/>
                      <w:lang w:val="en-US" w:eastAsia="zh-CN"/>
                    </w:rPr>
                    <w:t>mg/m</w:t>
                  </w:r>
                  <w:r>
                    <w:rPr>
                      <w:rFonts w:hint="default" w:ascii="Times New Roman" w:hAnsi="Times New Roman" w:eastAsia="宋体" w:cs="Times New Roman"/>
                      <w:b w:val="0"/>
                      <w:bCs w:val="0"/>
                      <w:color w:val="auto"/>
                      <w:sz w:val="21"/>
                      <w:szCs w:val="21"/>
                      <w:highlight w:val="none"/>
                      <w:vertAlign w:val="superscript"/>
                      <w:lang w:val="en-US" w:eastAsia="zh-CN"/>
                    </w:rPr>
                    <w:t>3</w:t>
                  </w:r>
                </w:p>
              </w:tc>
            </w:tr>
          </w:tbl>
          <w:p>
            <w:pPr>
              <w:bidi w:val="0"/>
              <w:rPr>
                <w:rFonts w:hint="default" w:ascii="Times New Roman" w:hAnsi="Times New Roman" w:eastAsia="宋体" w:cs="Times New Roman"/>
                <w:b/>
                <w:bCs/>
                <w:color w:val="auto"/>
                <w:highlight w:val="none"/>
                <w:lang w:val="en-US"/>
              </w:rPr>
            </w:pPr>
            <w:r>
              <w:rPr>
                <w:rFonts w:hint="default" w:ascii="Times New Roman" w:hAnsi="Times New Roman" w:eastAsia="宋体" w:cs="Times New Roman"/>
                <w:b/>
                <w:bCs/>
                <w:color w:val="auto"/>
                <w:highlight w:val="none"/>
                <w:lang w:val="en-US" w:eastAsia="zh-CN"/>
              </w:rPr>
              <w:t>2</w:t>
            </w:r>
            <w:r>
              <w:rPr>
                <w:rFonts w:hint="default" w:ascii="Times New Roman" w:hAnsi="Times New Roman" w:eastAsia="宋体" w:cs="Times New Roman"/>
                <w:b/>
                <w:bCs/>
                <w:color w:val="auto"/>
                <w:highlight w:val="none"/>
              </w:rPr>
              <w:t>、</w:t>
            </w:r>
            <w:r>
              <w:rPr>
                <w:rFonts w:hint="default" w:ascii="Times New Roman" w:hAnsi="Times New Roman" w:eastAsia="宋体" w:cs="Times New Roman"/>
                <w:b/>
                <w:bCs/>
                <w:color w:val="auto"/>
                <w:highlight w:val="none"/>
                <w:lang w:val="en-US" w:eastAsia="zh-CN"/>
              </w:rPr>
              <w:t>废水产排情况及治理措施可行性分析</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改建项目不新增劳动定员，因此不新增生活污水；</w:t>
            </w:r>
            <w:r>
              <w:rPr>
                <w:rFonts w:hint="default" w:ascii="Times New Roman" w:hAnsi="Times New Roman" w:eastAsia="宋体" w:cs="Times New Roman"/>
                <w:color w:val="auto"/>
                <w:highlight w:val="none"/>
              </w:rPr>
              <w:t>项目运营期废水主要为锅炉定期排污水</w:t>
            </w:r>
            <w:r>
              <w:rPr>
                <w:rFonts w:hint="default" w:ascii="Times New Roman" w:hAnsi="Times New Roman" w:eastAsia="宋体" w:cs="Times New Roman"/>
                <w:color w:val="auto"/>
                <w:highlight w:val="none"/>
                <w:lang w:eastAsia="zh-CN"/>
              </w:rPr>
              <w:t>、软水制备废水</w:t>
            </w:r>
            <w:r>
              <w:rPr>
                <w:rFonts w:hint="default" w:ascii="Times New Roman" w:hAnsi="Times New Roman" w:eastAsia="宋体" w:cs="Times New Roman"/>
                <w:color w:val="auto"/>
                <w:highlight w:val="none"/>
                <w:lang w:val="en-US" w:eastAsia="zh-CN"/>
              </w:rPr>
              <w:t>和脱硫塔废水</w:t>
            </w:r>
            <w:r>
              <w:rPr>
                <w:rFonts w:hint="default" w:ascii="Times New Roman" w:hAnsi="Times New Roman" w:eastAsia="宋体" w:cs="Times New Roman"/>
                <w:color w:val="auto"/>
                <w:highlight w:val="none"/>
              </w:rPr>
              <w:t>。</w:t>
            </w:r>
          </w:p>
          <w:p>
            <w:pPr>
              <w:keepNext w:val="0"/>
              <w:keepLines w:val="0"/>
              <w:pageBreakBefore w:val="0"/>
              <w:kinsoku/>
              <w:wordWrap/>
              <w:overflowPunct/>
              <w:topLinePunct w:val="0"/>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highlight w:val="none"/>
              </w:rPr>
              <w:t>锅炉定期排污水</w:t>
            </w:r>
          </w:p>
          <w:p>
            <w:pPr>
              <w:pStyle w:val="11"/>
              <w:keepNext w:val="0"/>
              <w:keepLines w:val="0"/>
              <w:pageBreakBefore w:val="0"/>
              <w:kinsoku/>
              <w:wordWrap/>
              <w:overflowPunct/>
              <w:topLinePunct w:val="0"/>
              <w:bidi w:val="0"/>
              <w:spacing w:line="360" w:lineRule="auto"/>
              <w:ind w:left="0" w:leftChars="0" w:right="0" w:rightChars="0" w:firstLine="480" w:firstLineChars="200"/>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改建项目</w:t>
            </w:r>
            <w:r>
              <w:rPr>
                <w:rFonts w:hint="default" w:ascii="Times New Roman" w:hAnsi="Times New Roman" w:eastAsia="宋体" w:cs="Times New Roman"/>
                <w:color w:val="auto"/>
                <w:highlight w:val="none"/>
              </w:rPr>
              <w:t>1台</w:t>
            </w:r>
            <w:r>
              <w:rPr>
                <w:rFonts w:hint="default" w:ascii="Times New Roman" w:hAnsi="Times New Roman" w:eastAsia="宋体" w:cs="Times New Roman"/>
                <w:color w:val="auto"/>
                <w:highlight w:val="none"/>
                <w:lang w:val="en-US" w:eastAsia="zh-CN"/>
              </w:rPr>
              <w:t>10</w:t>
            </w:r>
            <w:r>
              <w:rPr>
                <w:rFonts w:hint="default" w:ascii="Times New Roman" w:hAnsi="Times New Roman" w:eastAsia="宋体" w:cs="Times New Roman"/>
                <w:color w:val="auto"/>
                <w:highlight w:val="none"/>
                <w:lang w:eastAsia="zh-CN"/>
              </w:rPr>
              <w:t>t/h生物质热水锅炉定期排污水</w:t>
            </w:r>
            <w:r>
              <w:rPr>
                <w:rFonts w:hint="default" w:ascii="Times New Roman" w:hAnsi="Times New Roman" w:eastAsia="宋体" w:cs="Times New Roman"/>
                <w:color w:val="auto"/>
                <w:highlight w:val="none"/>
              </w:rPr>
              <w:t>按循环水量的2%计算，则</w:t>
            </w:r>
            <w:r>
              <w:rPr>
                <w:rFonts w:hint="default" w:ascii="Times New Roman" w:hAnsi="Times New Roman" w:eastAsia="宋体" w:cs="Times New Roman"/>
                <w:color w:val="auto"/>
                <w:highlight w:val="none"/>
                <w:lang w:eastAsia="zh-CN"/>
              </w:rPr>
              <w:t>锅炉定期排污水</w:t>
            </w:r>
            <w:r>
              <w:rPr>
                <w:rFonts w:hint="default" w:ascii="Times New Roman" w:hAnsi="Times New Roman" w:eastAsia="宋体" w:cs="Times New Roman"/>
                <w:color w:val="auto"/>
                <w:highlight w:val="none"/>
              </w:rPr>
              <w:t>排放量为</w:t>
            </w:r>
            <w:r>
              <w:rPr>
                <w:rFonts w:hint="default" w:ascii="Times New Roman" w:hAnsi="Times New Roman" w:eastAsia="宋体" w:cs="Times New Roman"/>
                <w:color w:val="auto"/>
                <w:sz w:val="24"/>
                <w:highlight w:val="none"/>
              </w:rPr>
              <w:t>0.</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/h（</w:t>
            </w:r>
            <w:r>
              <w:rPr>
                <w:rFonts w:hint="default" w:ascii="Times New Roman" w:hAnsi="Times New Roman" w:eastAsia="宋体" w:cs="Times New Roman"/>
                <w:color w:val="auto"/>
                <w:sz w:val="24"/>
                <w:highlight w:val="none"/>
                <w:lang w:val="en-US" w:eastAsia="zh-CN"/>
              </w:rPr>
              <w:t>4.8</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w:t>
            </w:r>
            <w:r>
              <w:rPr>
                <w:rFonts w:hint="default" w:ascii="Times New Roman" w:hAnsi="Times New Roman" w:eastAsia="宋体" w:cs="Times New Roman"/>
                <w:color w:val="auto"/>
                <w:sz w:val="24"/>
                <w:highlight w:val="none"/>
                <w:lang w:val="en-US" w:eastAsia="zh-CN"/>
              </w:rPr>
              <w:t>864</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highlight w:val="none"/>
              </w:rPr>
              <w:t>，直接用于灰渣库抑尘、厂区空地降尘洒水，不外排。</w:t>
            </w:r>
          </w:p>
          <w:p>
            <w:pPr>
              <w:keepNext w:val="0"/>
              <w:keepLines w:val="0"/>
              <w:pageBreakBefore w:val="0"/>
              <w:kinsoku/>
              <w:wordWrap/>
              <w:overflowPunct/>
              <w:topLinePunct w:val="0"/>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highlight w:val="none"/>
              </w:rPr>
              <w:t>软水制备废水</w:t>
            </w:r>
          </w:p>
          <w:p>
            <w:pPr>
              <w:pStyle w:val="11"/>
              <w:keepNext w:val="0"/>
              <w:keepLines w:val="0"/>
              <w:pageBreakBefore w:val="0"/>
              <w:kinsoku/>
              <w:wordWrap/>
              <w:overflowPunct/>
              <w:topLinePunct w:val="0"/>
              <w:bidi w:val="0"/>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改建项目</w:t>
            </w:r>
            <w:r>
              <w:rPr>
                <w:rFonts w:hint="default" w:ascii="Times New Roman" w:hAnsi="Times New Roman" w:eastAsia="宋体" w:cs="Times New Roman"/>
                <w:color w:val="auto"/>
                <w:sz w:val="24"/>
                <w:highlight w:val="none"/>
              </w:rPr>
              <w:t>软水制备装置排污量为</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/d（</w:t>
            </w:r>
            <w:r>
              <w:rPr>
                <w:rFonts w:hint="default" w:ascii="Times New Roman" w:hAnsi="Times New Roman" w:eastAsia="宋体" w:cs="Times New Roman"/>
                <w:color w:val="auto"/>
                <w:sz w:val="24"/>
                <w:highlight w:val="none"/>
                <w:lang w:val="en-US" w:eastAsia="zh-CN"/>
              </w:rPr>
              <w:t>540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/a），直接用于灰渣库抑尘、厂区空地降尘洒水，不外排。</w:t>
            </w:r>
          </w:p>
          <w:p>
            <w:pPr>
              <w:keepNext w:val="0"/>
              <w:keepLines w:val="0"/>
              <w:pageBreakBefore w:val="0"/>
              <w:widowControl/>
              <w:kinsoku/>
              <w:wordWrap/>
              <w:overflowPunct/>
              <w:topLinePunct w:val="0"/>
              <w:bidi w:val="0"/>
              <w:spacing w:line="360" w:lineRule="auto"/>
              <w:ind w:left="0" w:leftChars="0" w:right="0" w:rightChars="0" w:firstLine="480" w:firstLineChars="200"/>
              <w:textAlignment w:val="auto"/>
              <w:outlineLvl w:val="1"/>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eastAsia="zh-CN"/>
              </w:rPr>
              <w:t>）灰渣间抑尘废水</w:t>
            </w:r>
          </w:p>
          <w:p>
            <w:pPr>
              <w:keepNext w:val="0"/>
              <w:keepLines w:val="0"/>
              <w:pageBreakBefore w:val="0"/>
              <w:widowControl/>
              <w:kinsoku/>
              <w:wordWrap/>
              <w:overflowPunct/>
              <w:topLinePunct w:val="0"/>
              <w:bidi w:val="0"/>
              <w:spacing w:line="360" w:lineRule="auto"/>
              <w:ind w:left="0" w:leftChars="0" w:right="0" w:rightChars="0" w:firstLine="480" w:firstLineChars="200"/>
              <w:textAlignment w:val="auto"/>
              <w:outlineLvl w:val="1"/>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灰渣间抑尘用水</w:t>
            </w:r>
            <w:r>
              <w:rPr>
                <w:rFonts w:hint="default" w:ascii="Times New Roman" w:hAnsi="Times New Roman" w:eastAsia="宋体" w:cs="Times New Roman"/>
                <w:color w:val="auto"/>
                <w:sz w:val="24"/>
                <w:szCs w:val="24"/>
                <w:highlight w:val="none"/>
              </w:rPr>
              <w:t>全部被灰渣吸收，通过自然蒸发，无废水产生</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kinsoku/>
              <w:wordWrap/>
              <w:overflowPunct/>
              <w:topLinePunct w:val="0"/>
              <w:bidi w:val="0"/>
              <w:spacing w:line="360" w:lineRule="auto"/>
              <w:ind w:left="0" w:leftChars="0" w:right="0" w:rightChars="0" w:firstLine="480" w:firstLineChars="200"/>
              <w:textAlignment w:val="auto"/>
              <w:outlineLvl w:val="1"/>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eastAsia="zh-CN"/>
              </w:rPr>
              <w:t>）脱硫塔废</w:t>
            </w:r>
            <w:r>
              <w:rPr>
                <w:rFonts w:hint="default" w:ascii="Times New Roman" w:hAnsi="Times New Roman" w:eastAsia="宋体" w:cs="Times New Roman"/>
                <w:color w:val="auto"/>
                <w:sz w:val="24"/>
                <w:szCs w:val="24"/>
                <w:highlight w:val="none"/>
              </w:rPr>
              <w:t>水</w:t>
            </w:r>
          </w:p>
          <w:p>
            <w:pPr>
              <w:keepNext w:val="0"/>
              <w:keepLines w:val="0"/>
              <w:pageBreakBefore w:val="0"/>
              <w:widowControl/>
              <w:kinsoku/>
              <w:wordWrap/>
              <w:overflowPunct/>
              <w:topLinePunct w:val="0"/>
              <w:bidi w:val="0"/>
              <w:spacing w:line="360" w:lineRule="auto"/>
              <w:ind w:left="0" w:leftChars="0" w:right="0" w:rightChars="0" w:firstLine="480" w:firstLineChars="200"/>
              <w:textAlignment w:val="auto"/>
              <w:outlineLvl w:val="1"/>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双碱法脱硫塔底部设置1座三级沉淀池，脱硫塔内脱硫废水经沉淀后循环使用，不外排。</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综上</w:t>
            </w:r>
            <w:r>
              <w:rPr>
                <w:rFonts w:hint="default" w:ascii="Times New Roman" w:hAnsi="Times New Roman" w:eastAsia="宋体" w:cs="Times New Roman"/>
                <w:color w:val="auto"/>
                <w:highlight w:val="none"/>
                <w:lang w:val="en-US" w:eastAsia="zh-CN"/>
              </w:rPr>
              <w:t>所述</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改建项目</w:t>
            </w:r>
            <w:r>
              <w:rPr>
                <w:rFonts w:hint="default" w:ascii="Times New Roman" w:hAnsi="Times New Roman" w:eastAsia="宋体" w:cs="Times New Roman"/>
                <w:color w:val="auto"/>
                <w:highlight w:val="none"/>
              </w:rPr>
              <w:t>生产废水均不外排，对周围水环境无影响。</w:t>
            </w:r>
          </w:p>
          <w:p>
            <w:pPr>
              <w:bidi w:val="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lang w:val="en-US" w:eastAsia="zh-CN"/>
              </w:rPr>
              <w:t>3、</w:t>
            </w:r>
            <w:r>
              <w:rPr>
                <w:rFonts w:hint="default" w:ascii="Times New Roman" w:hAnsi="Times New Roman" w:eastAsia="宋体" w:cs="Times New Roman"/>
                <w:b/>
                <w:bCs/>
                <w:color w:val="auto"/>
                <w:highlight w:val="none"/>
                <w:lang w:eastAsia="zh-CN"/>
              </w:rPr>
              <w:t>噪声</w:t>
            </w:r>
          </w:p>
          <w:p>
            <w:pPr>
              <w:bidi w:val="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3.1噪声源强分析</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改建项目</w:t>
            </w:r>
            <w:r>
              <w:rPr>
                <w:rFonts w:hint="default" w:ascii="Times New Roman" w:hAnsi="Times New Roman" w:eastAsia="宋体" w:cs="Times New Roman"/>
                <w:color w:val="auto"/>
                <w:highlight w:val="none"/>
              </w:rPr>
              <w:t>运营期产生的主要声源为给水泵、</w:t>
            </w:r>
            <w:r>
              <w:rPr>
                <w:rFonts w:hint="default" w:ascii="Times New Roman" w:hAnsi="Times New Roman" w:eastAsia="宋体" w:cs="Times New Roman"/>
                <w:color w:val="auto"/>
                <w:highlight w:val="none"/>
                <w:lang w:eastAsia="zh-CN"/>
              </w:rPr>
              <w:t>循环水</w:t>
            </w:r>
            <w:r>
              <w:rPr>
                <w:rFonts w:hint="default" w:ascii="Times New Roman" w:hAnsi="Times New Roman" w:eastAsia="宋体" w:cs="Times New Roman"/>
                <w:color w:val="auto"/>
                <w:highlight w:val="none"/>
              </w:rPr>
              <w:t>泵、风机设备噪声，该类设备运行时噪声源强参照《</w:t>
            </w:r>
            <w:r>
              <w:rPr>
                <w:rFonts w:hint="eastAsia" w:cs="Times New Roman"/>
                <w:color w:val="auto"/>
                <w:highlight w:val="none"/>
                <w:lang w:eastAsia="zh-CN"/>
              </w:rPr>
              <w:t>污染源源强核算技术指南</w:t>
            </w:r>
            <w:r>
              <w:rPr>
                <w:rFonts w:hint="eastAsia" w:cs="Times New Roman"/>
                <w:color w:val="auto"/>
                <w:highlight w:val="none"/>
                <w:lang w:val="en-US" w:eastAsia="zh-CN"/>
              </w:rPr>
              <w:t xml:space="preserve"> </w:t>
            </w:r>
            <w:r>
              <w:rPr>
                <w:rFonts w:hint="eastAsia" w:cs="Times New Roman"/>
                <w:color w:val="auto"/>
                <w:highlight w:val="none"/>
                <w:lang w:eastAsia="zh-CN"/>
              </w:rPr>
              <w:t>锅炉</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HJ991-2018）中“附录D锅炉相关设备噪声源声压级及常见降噪措施一览表”可知，</w:t>
            </w:r>
            <w:r>
              <w:rPr>
                <w:rFonts w:hint="default" w:ascii="Times New Roman" w:hAnsi="Times New Roman" w:eastAsia="宋体" w:cs="Times New Roman"/>
                <w:color w:val="auto"/>
                <w:highlight w:val="none"/>
                <w:lang w:eastAsia="zh-CN"/>
              </w:rPr>
              <w:t>改建项目</w:t>
            </w:r>
            <w:r>
              <w:rPr>
                <w:rFonts w:hint="default" w:ascii="Times New Roman" w:hAnsi="Times New Roman" w:eastAsia="宋体" w:cs="Times New Roman"/>
                <w:color w:val="auto"/>
                <w:highlight w:val="none"/>
              </w:rPr>
              <w:t>设备源强在70-90dB</w:t>
            </w:r>
            <w:r>
              <w:rPr>
                <w:rFonts w:hint="eastAsia" w:cs="Times New Roman"/>
                <w:color w:val="auto"/>
                <w:highlight w:val="none"/>
                <w:lang w:eastAsia="zh-CN"/>
              </w:rPr>
              <w:t>(A)</w:t>
            </w:r>
            <w:r>
              <w:rPr>
                <w:rFonts w:hint="default" w:ascii="Times New Roman" w:hAnsi="Times New Roman" w:eastAsia="宋体" w:cs="Times New Roman"/>
                <w:color w:val="auto"/>
                <w:highlight w:val="none"/>
              </w:rPr>
              <w:t>左右。为使项目运营期噪声影响降到最低，项目锅炉设备均设于室内，做全封闭隔声同时进行减振处理，降噪值可达25dB</w:t>
            </w:r>
            <w:r>
              <w:rPr>
                <w:rFonts w:hint="eastAsia" w:cs="Times New Roman"/>
                <w:color w:val="auto"/>
                <w:highlight w:val="none"/>
                <w:lang w:eastAsia="zh-CN"/>
              </w:rPr>
              <w:t>(A)</w:t>
            </w:r>
            <w:r>
              <w:rPr>
                <w:rFonts w:hint="default" w:ascii="Times New Roman" w:hAnsi="Times New Roman" w:eastAsia="宋体" w:cs="Times New Roman"/>
                <w:color w:val="auto"/>
                <w:highlight w:val="none"/>
              </w:rPr>
              <w:t>以上，设备噪声源值见表</w:t>
            </w:r>
            <w:r>
              <w:rPr>
                <w:rFonts w:hint="default" w:ascii="Times New Roman" w:hAnsi="Times New Roman" w:eastAsia="宋体" w:cs="Times New Roman"/>
                <w:color w:val="auto"/>
                <w:highlight w:val="none"/>
                <w:lang w:val="en-US" w:eastAsia="zh-CN"/>
              </w:rPr>
              <w:t>4-7</w:t>
            </w:r>
            <w:r>
              <w:rPr>
                <w:rFonts w:hint="default" w:ascii="Times New Roman" w:hAnsi="Times New Roman" w:eastAsia="宋体" w:cs="Times New Roman"/>
                <w:color w:val="auto"/>
                <w:highlight w:val="none"/>
              </w:rPr>
              <w:t>。</w:t>
            </w:r>
          </w:p>
          <w:p>
            <w:pPr>
              <w:bidi w:val="0"/>
              <w:ind w:left="0" w:leftChars="0" w:firstLine="0" w:firstLine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w:t>
            </w:r>
            <w:r>
              <w:rPr>
                <w:rFonts w:hint="default" w:ascii="Times New Roman" w:hAnsi="Times New Roman" w:eastAsia="宋体" w:cs="Times New Roman"/>
                <w:b/>
                <w:bCs/>
                <w:color w:val="auto"/>
                <w:highlight w:val="none"/>
                <w:lang w:val="en-US" w:eastAsia="zh-CN"/>
              </w:rPr>
              <w:t xml:space="preserve">4-7  </w:t>
            </w:r>
            <w:r>
              <w:rPr>
                <w:rFonts w:hint="default" w:ascii="Times New Roman" w:hAnsi="Times New Roman" w:eastAsia="宋体" w:cs="Times New Roman"/>
                <w:b/>
                <w:bCs/>
                <w:color w:val="auto"/>
                <w:highlight w:val="none"/>
              </w:rPr>
              <w:t>设备噪声源值表</w:t>
            </w:r>
          </w:p>
          <w:tbl>
            <w:tblPr>
              <w:tblStyle w:val="19"/>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5" w:type="dxa"/>
                <w:bottom w:w="0" w:type="dxa"/>
                <w:right w:w="15" w:type="dxa"/>
              </w:tblCellMar>
            </w:tblPr>
            <w:tblGrid>
              <w:gridCol w:w="500"/>
              <w:gridCol w:w="1333"/>
              <w:gridCol w:w="750"/>
              <w:gridCol w:w="1524"/>
              <w:gridCol w:w="1638"/>
              <w:gridCol w:w="1110"/>
              <w:gridCol w:w="13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340" w:hRule="atLeast"/>
                <w:jc w:val="center"/>
              </w:trPr>
              <w:tc>
                <w:tcPr>
                  <w:tcW w:w="5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133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名称及型号</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数量</w:t>
                  </w:r>
                </w:p>
              </w:tc>
              <w:tc>
                <w:tcPr>
                  <w:tcW w:w="152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rPr>
                    <w:t>噪声值dB</w:t>
                  </w:r>
                  <w:r>
                    <w:rPr>
                      <w:rFonts w:hint="eastAsia" w:cs="Times New Roman"/>
                      <w:b/>
                      <w:bCs/>
                      <w:color w:val="auto"/>
                      <w:sz w:val="21"/>
                      <w:szCs w:val="21"/>
                      <w:highlight w:val="none"/>
                      <w:lang w:eastAsia="zh-CN"/>
                    </w:rPr>
                    <w:t>(A)</w:t>
                  </w:r>
                </w:p>
              </w:tc>
              <w:tc>
                <w:tcPr>
                  <w:tcW w:w="163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防护措施</w:t>
                  </w:r>
                </w:p>
              </w:tc>
              <w:tc>
                <w:tcPr>
                  <w:tcW w:w="11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rPr>
                    <w:t>减噪数值dB</w:t>
                  </w:r>
                  <w:r>
                    <w:rPr>
                      <w:rFonts w:hint="eastAsia" w:cs="Times New Roman"/>
                      <w:b/>
                      <w:bCs/>
                      <w:color w:val="auto"/>
                      <w:sz w:val="21"/>
                      <w:szCs w:val="21"/>
                      <w:highlight w:val="none"/>
                      <w:lang w:eastAsia="zh-CN"/>
                    </w:rPr>
                    <w:t>(A)</w:t>
                  </w:r>
                </w:p>
              </w:tc>
              <w:tc>
                <w:tcPr>
                  <w:tcW w:w="13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rPr>
                    <w:t>采取环保措施的噪声值dB</w:t>
                  </w:r>
                  <w:r>
                    <w:rPr>
                      <w:rFonts w:hint="eastAsia" w:cs="Times New Roman"/>
                      <w:b/>
                      <w:bCs/>
                      <w:color w:val="auto"/>
                      <w:sz w:val="21"/>
                      <w:szCs w:val="21"/>
                      <w:highlight w:val="none"/>
                      <w:lang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340" w:hRule="atLeast"/>
                <w:jc w:val="center"/>
              </w:trPr>
              <w:tc>
                <w:tcPr>
                  <w:tcW w:w="5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33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给水泵</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52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rPr>
                    <w:t>90</w:t>
                  </w:r>
                </w:p>
              </w:tc>
              <w:tc>
                <w:tcPr>
                  <w:tcW w:w="163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rPr>
                    <w:t>减震、封闭隔声</w:t>
                  </w:r>
                </w:p>
              </w:tc>
              <w:tc>
                <w:tcPr>
                  <w:tcW w:w="11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w:t>
                  </w:r>
                </w:p>
              </w:tc>
              <w:tc>
                <w:tcPr>
                  <w:tcW w:w="13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340" w:hRule="atLeast"/>
                <w:jc w:val="center"/>
              </w:trPr>
              <w:tc>
                <w:tcPr>
                  <w:tcW w:w="5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33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风机</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152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rPr>
                    <w:t>90</w:t>
                  </w:r>
                </w:p>
              </w:tc>
              <w:tc>
                <w:tcPr>
                  <w:tcW w:w="163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kern w:val="0"/>
                      <w:sz w:val="21"/>
                      <w:szCs w:val="21"/>
                      <w:highlight w:val="none"/>
                    </w:rPr>
                    <w:t>减震、封闭隔声</w:t>
                  </w:r>
                </w:p>
              </w:tc>
              <w:tc>
                <w:tcPr>
                  <w:tcW w:w="11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w:t>
                  </w:r>
                </w:p>
              </w:tc>
              <w:tc>
                <w:tcPr>
                  <w:tcW w:w="13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340" w:hRule="atLeast"/>
                <w:jc w:val="center"/>
              </w:trPr>
              <w:tc>
                <w:tcPr>
                  <w:tcW w:w="5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33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炉排减速机</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w:t>
                  </w:r>
                </w:p>
              </w:tc>
              <w:tc>
                <w:tcPr>
                  <w:tcW w:w="152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rPr>
                    <w:t>85</w:t>
                  </w:r>
                </w:p>
              </w:tc>
              <w:tc>
                <w:tcPr>
                  <w:tcW w:w="163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rPr>
                    <w:t>减震、封闭隔声</w:t>
                  </w:r>
                </w:p>
              </w:tc>
              <w:tc>
                <w:tcPr>
                  <w:tcW w:w="11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25</w:t>
                  </w:r>
                </w:p>
              </w:tc>
              <w:tc>
                <w:tcPr>
                  <w:tcW w:w="13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340" w:hRule="atLeast"/>
                <w:jc w:val="center"/>
              </w:trPr>
              <w:tc>
                <w:tcPr>
                  <w:tcW w:w="5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133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上料机</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w:t>
                  </w:r>
                </w:p>
              </w:tc>
              <w:tc>
                <w:tcPr>
                  <w:tcW w:w="152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rPr>
                    <w:t>80</w:t>
                  </w:r>
                </w:p>
              </w:tc>
              <w:tc>
                <w:tcPr>
                  <w:tcW w:w="163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rPr>
                    <w:t>减震、封闭隔声</w:t>
                  </w:r>
                </w:p>
              </w:tc>
              <w:tc>
                <w:tcPr>
                  <w:tcW w:w="11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25</w:t>
                  </w:r>
                </w:p>
              </w:tc>
              <w:tc>
                <w:tcPr>
                  <w:tcW w:w="13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340" w:hRule="atLeast"/>
                <w:jc w:val="center"/>
              </w:trPr>
              <w:tc>
                <w:tcPr>
                  <w:tcW w:w="5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133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出渣机</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w:t>
                  </w:r>
                </w:p>
              </w:tc>
              <w:tc>
                <w:tcPr>
                  <w:tcW w:w="152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rPr>
                    <w:t>85</w:t>
                  </w:r>
                </w:p>
              </w:tc>
              <w:tc>
                <w:tcPr>
                  <w:tcW w:w="163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rPr>
                    <w:t>减震、封闭隔声</w:t>
                  </w:r>
                </w:p>
              </w:tc>
              <w:tc>
                <w:tcPr>
                  <w:tcW w:w="11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25</w:t>
                  </w:r>
                </w:p>
              </w:tc>
              <w:tc>
                <w:tcPr>
                  <w:tcW w:w="13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5" w:type="dxa"/>
                  <w:bottom w:w="0" w:type="dxa"/>
                  <w:right w:w="15" w:type="dxa"/>
                </w:tblCellMar>
              </w:tblPrEx>
              <w:trPr>
                <w:trHeight w:val="340" w:hRule="atLeast"/>
                <w:jc w:val="center"/>
              </w:trPr>
              <w:tc>
                <w:tcPr>
                  <w:tcW w:w="5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133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循环水泵</w:t>
                  </w:r>
                </w:p>
              </w:tc>
              <w:tc>
                <w:tcPr>
                  <w:tcW w:w="7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w:t>
                  </w:r>
                </w:p>
              </w:tc>
              <w:tc>
                <w:tcPr>
                  <w:tcW w:w="152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rPr>
                    <w:t>90</w:t>
                  </w:r>
                </w:p>
              </w:tc>
              <w:tc>
                <w:tcPr>
                  <w:tcW w:w="163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snapToGrid w:val="0"/>
                      <w:color w:val="auto"/>
                      <w:kern w:val="0"/>
                      <w:sz w:val="21"/>
                      <w:szCs w:val="21"/>
                      <w:highlight w:val="none"/>
                    </w:rPr>
                    <w:t>减震、封闭隔声</w:t>
                  </w:r>
                </w:p>
              </w:tc>
              <w:tc>
                <w:tcPr>
                  <w:tcW w:w="11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25</w:t>
                  </w:r>
                </w:p>
              </w:tc>
              <w:tc>
                <w:tcPr>
                  <w:tcW w:w="13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65</w:t>
                  </w:r>
                </w:p>
              </w:tc>
            </w:tr>
          </w:tbl>
          <w:p>
            <w:pPr>
              <w:bidi w:val="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lang w:val="en-US" w:eastAsia="zh-CN"/>
              </w:rPr>
              <w:t>3.2</w:t>
            </w:r>
            <w:r>
              <w:rPr>
                <w:rFonts w:hint="default" w:ascii="Times New Roman" w:hAnsi="Times New Roman" w:eastAsia="宋体" w:cs="Times New Roman"/>
                <w:b/>
                <w:bCs/>
                <w:color w:val="auto"/>
                <w:highlight w:val="none"/>
              </w:rPr>
              <w:t>预测模式与方法</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在进行噪声预测时，只考虑各噪声源所在厂房围护结构的屏蔽效应、</w:t>
            </w:r>
            <w:r>
              <w:rPr>
                <w:rFonts w:hint="default" w:ascii="Times New Roman" w:hAnsi="Times New Roman" w:eastAsia="宋体" w:cs="Times New Roman"/>
                <w:color w:val="auto"/>
                <w:highlight w:val="none"/>
                <w:lang w:eastAsia="zh-CN"/>
              </w:rPr>
              <w:t>噪声</w:t>
            </w:r>
            <w:r>
              <w:rPr>
                <w:rFonts w:hint="default" w:ascii="Times New Roman" w:hAnsi="Times New Roman" w:eastAsia="宋体" w:cs="Times New Roman"/>
                <w:color w:val="auto"/>
                <w:highlight w:val="none"/>
              </w:rPr>
              <w:t>源至受声点的距离衰减以及空气吸收等主要衰减因素，各噪声源强只考虑常规降噪措施。预测模式如下：</w:t>
            </w:r>
          </w:p>
          <w:p>
            <w:pPr>
              <w:keepNext w:val="0"/>
              <w:keepLines w:val="0"/>
              <w:pageBreakBefore w:val="0"/>
              <w:widowControl w:val="0"/>
              <w:kinsoku/>
              <w:wordWrap/>
              <w:overflowPunct/>
              <w:topLinePunct w:val="0"/>
              <w:bidi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本次环境噪声预测，采用《环境影响评价技术导则</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声环境》</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HJ2.4-20</w:t>
            </w:r>
            <w:r>
              <w:rPr>
                <w:rFonts w:hint="default" w:ascii="Times New Roman" w:hAnsi="Times New Roman" w:eastAsia="宋体" w:cs="Times New Roman"/>
                <w:color w:val="auto"/>
                <w:highlight w:val="none"/>
                <w:lang w:val="en-US" w:eastAsia="zh-CN"/>
              </w:rPr>
              <w:t>21</w:t>
            </w:r>
            <w:r>
              <w:rPr>
                <w:rFonts w:hint="default" w:ascii="Times New Roman" w:hAnsi="Times New Roman" w:eastAsia="宋体" w:cs="Times New Roman"/>
                <w:color w:val="auto"/>
                <w:highlight w:val="none"/>
              </w:rPr>
              <w:t>）中的工业噪声预测模式，主要是对拟建项目噪声源对厂界的影响进行预测，厂界以现状监测点为预测点。预测模式如下：</w:t>
            </w:r>
          </w:p>
          <w:p>
            <w:pPr>
              <w:keepNext w:val="0"/>
              <w:keepLines w:val="0"/>
              <w:pageBreakBefore w:val="0"/>
              <w:widowControl w:val="0"/>
              <w:kinsoku/>
              <w:wordWrap/>
              <w:overflowPunct/>
              <w:topLinePunct w:val="0"/>
              <w:bidi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①计算某个设备在车间内靠近围护结构处的声压级：</w:t>
            </w:r>
          </w:p>
          <w:p>
            <w:pPr>
              <w:keepNext w:val="0"/>
              <w:keepLines w:val="0"/>
              <w:pageBreakBefore w:val="0"/>
              <w:widowControl w:val="0"/>
              <w:kinsoku/>
              <w:wordWrap/>
              <w:overflowPunct/>
              <w:topLinePunct w:val="0"/>
              <w:bidi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rPr>
            </w:pPr>
          </w:p>
          <w:p>
            <w:pPr>
              <w:keepNext w:val="0"/>
              <w:keepLines w:val="0"/>
              <w:pageBreakBefore w:val="0"/>
              <w:widowControl w:val="0"/>
              <w:kinsoku/>
              <w:wordWrap/>
              <w:overflowPunct/>
              <w:topLinePunct w:val="0"/>
              <w:bidi w:val="0"/>
              <w:spacing w:line="360" w:lineRule="auto"/>
              <w:ind w:left="0" w:leftChars="0" w:right="0" w:rightChars="0" w:firstLine="480" w:firstLineChars="20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position w:val="-24"/>
                <w:highlight w:val="none"/>
              </w:rPr>
              <w:object>
                <v:shape id="_x0000_i1027" o:spt="75" type="#_x0000_t75" style="height:30pt;width:156pt;" o:ole="t" filled="f" o:preferrelative="t" stroked="f" coordsize="21600,21600">
                  <v:path/>
                  <v:fill on="f" focussize="0,0"/>
                  <v:stroke on="f"/>
                  <v:imagedata r:id="rId18" o:title=""/>
                  <o:lock v:ext="edit" aspectratio="t"/>
                  <w10:wrap type="none"/>
                  <w10:anchorlock/>
                </v:shape>
                <o:OLEObject Type="Embed" ProgID="Equation.DSMT4" ShapeID="_x0000_i1027" DrawAspect="Content" ObjectID="_1468075727" r:id="rId17">
                  <o:LockedField>false</o:LockedField>
                </o:OLEObject>
              </w:object>
            </w:r>
          </w:p>
          <w:p>
            <w:pPr>
              <w:keepNext w:val="0"/>
              <w:keepLines w:val="0"/>
              <w:pageBreakBefore w:val="0"/>
              <w:widowControl w:val="0"/>
              <w:kinsoku/>
              <w:wordWrap/>
              <w:overflowPunct/>
              <w:topLinePunct w:val="0"/>
              <w:bidi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w:t>
            </w:r>
          </w:p>
          <w:p>
            <w:pPr>
              <w:keepNext w:val="0"/>
              <w:keepLines w:val="0"/>
              <w:pageBreakBefore w:val="0"/>
              <w:widowControl w:val="0"/>
              <w:kinsoku/>
              <w:wordWrap/>
              <w:overflowPunct/>
              <w:topLinePunct w:val="0"/>
              <w:bidi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i/>
                <w:iCs/>
                <w:color w:val="auto"/>
                <w:highlight w:val="none"/>
              </w:rPr>
              <w:t>L</w:t>
            </w:r>
            <w:r>
              <w:rPr>
                <w:rFonts w:hint="default" w:ascii="Times New Roman" w:hAnsi="Times New Roman" w:eastAsia="宋体" w:cs="Times New Roman"/>
                <w:i/>
                <w:iCs/>
                <w:color w:val="auto"/>
                <w:highlight w:val="none"/>
                <w:vertAlign w:val="subscript"/>
              </w:rPr>
              <w:t>oct</w:t>
            </w:r>
            <w:r>
              <w:rPr>
                <w:rFonts w:hint="default" w:ascii="Times New Roman" w:hAnsi="Times New Roman" w:eastAsia="宋体" w:cs="Times New Roman"/>
                <w:i/>
                <w:iCs/>
                <w:color w:val="auto"/>
                <w:highlight w:val="none"/>
                <w:vertAlign w:val="subscript"/>
                <w:lang w:eastAsia="zh-CN"/>
              </w:rPr>
              <w:t>，</w:t>
            </w:r>
            <w:r>
              <w:rPr>
                <w:rFonts w:hint="default" w:ascii="Times New Roman" w:hAnsi="Times New Roman" w:eastAsia="宋体" w:cs="Times New Roman"/>
                <w:i/>
                <w:iCs/>
                <w:color w:val="auto"/>
                <w:highlight w:val="none"/>
                <w:vertAlign w:val="subscript"/>
              </w:rPr>
              <w:t>1</w:t>
            </w:r>
            <w:r>
              <w:rPr>
                <w:rFonts w:hint="default" w:ascii="Times New Roman" w:hAnsi="Times New Roman" w:eastAsia="宋体" w:cs="Times New Roman"/>
                <w:i/>
                <w:iCs/>
                <w:color w:val="auto"/>
                <w:highlight w:val="none"/>
              </w:rPr>
              <w:t>——</w:t>
            </w:r>
            <w:r>
              <w:rPr>
                <w:rFonts w:hint="default" w:ascii="Times New Roman" w:hAnsi="Times New Roman" w:eastAsia="宋体" w:cs="Times New Roman"/>
                <w:color w:val="auto"/>
                <w:highlight w:val="none"/>
              </w:rPr>
              <w:t>某声源在靠近围护结构处的倍频带声压级，dB</w:t>
            </w:r>
            <w:r>
              <w:rPr>
                <w:rFonts w:hint="eastAsia" w:cs="Times New Roman"/>
                <w:color w:val="auto"/>
                <w:highlight w:val="none"/>
                <w:lang w:eastAsia="zh-CN"/>
              </w:rPr>
              <w:t>(A)</w:t>
            </w:r>
            <w:r>
              <w:rPr>
                <w:rFonts w:hint="default" w:ascii="Times New Roman" w:hAnsi="Times New Roman" w:eastAsia="宋体" w:cs="Times New Roman"/>
                <w:color w:val="auto"/>
                <w:highlight w:val="none"/>
              </w:rPr>
              <w:t>；</w:t>
            </w:r>
          </w:p>
          <w:p>
            <w:pPr>
              <w:keepNext w:val="0"/>
              <w:keepLines w:val="0"/>
              <w:pageBreakBefore w:val="0"/>
              <w:widowControl w:val="0"/>
              <w:kinsoku/>
              <w:wordWrap/>
              <w:overflowPunct/>
              <w:topLinePunct w:val="0"/>
              <w:bidi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L</w:t>
            </w:r>
            <w:r>
              <w:rPr>
                <w:rFonts w:hint="default" w:ascii="Times New Roman" w:hAnsi="Times New Roman" w:eastAsia="宋体" w:cs="Times New Roman"/>
                <w:color w:val="auto"/>
                <w:highlight w:val="none"/>
                <w:vertAlign w:val="subscript"/>
              </w:rPr>
              <w:t>woct</w:t>
            </w:r>
            <w:r>
              <w:rPr>
                <w:rFonts w:hint="default" w:ascii="Times New Roman" w:hAnsi="Times New Roman" w:eastAsia="宋体" w:cs="Times New Roman"/>
                <w:color w:val="auto"/>
                <w:highlight w:val="none"/>
              </w:rPr>
              <w:t>——该声源的倍频带声功率级，dB</w:t>
            </w:r>
            <w:r>
              <w:rPr>
                <w:rFonts w:hint="eastAsia" w:cs="Times New Roman"/>
                <w:color w:val="auto"/>
                <w:highlight w:val="none"/>
                <w:lang w:eastAsia="zh-CN"/>
              </w:rPr>
              <w:t>(A)</w:t>
            </w:r>
            <w:r>
              <w:rPr>
                <w:rFonts w:hint="default" w:ascii="Times New Roman" w:hAnsi="Times New Roman" w:eastAsia="宋体" w:cs="Times New Roman"/>
                <w:color w:val="auto"/>
                <w:highlight w:val="none"/>
              </w:rPr>
              <w:t>；</w:t>
            </w:r>
          </w:p>
          <w:p>
            <w:pPr>
              <w:keepNext w:val="0"/>
              <w:keepLines w:val="0"/>
              <w:pageBreakBefore w:val="0"/>
              <w:widowControl w:val="0"/>
              <w:kinsoku/>
              <w:wordWrap/>
              <w:overflowPunct/>
              <w:topLinePunct w:val="0"/>
              <w:bidi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r</w:t>
            </w:r>
            <w:r>
              <w:rPr>
                <w:rFonts w:hint="default" w:ascii="Times New Roman" w:hAnsi="Times New Roman" w:eastAsia="宋体" w:cs="Times New Roman"/>
                <w:color w:val="auto"/>
                <w:highlight w:val="none"/>
                <w:vertAlign w:val="subscript"/>
              </w:rPr>
              <w:t>1</w:t>
            </w:r>
            <w:r>
              <w:rPr>
                <w:rFonts w:hint="default" w:ascii="Times New Roman" w:hAnsi="Times New Roman" w:eastAsia="宋体" w:cs="Times New Roman"/>
                <w:color w:val="auto"/>
                <w:highlight w:val="none"/>
              </w:rPr>
              <w:t>——该声源与靠近围护结构处的距离，m；</w:t>
            </w:r>
          </w:p>
          <w:p>
            <w:pPr>
              <w:keepNext w:val="0"/>
              <w:keepLines w:val="0"/>
              <w:pageBreakBefore w:val="0"/>
              <w:widowControl w:val="0"/>
              <w:kinsoku/>
              <w:wordWrap/>
              <w:overflowPunct/>
              <w:topLinePunct w:val="0"/>
              <w:bidi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R——房间常数；</w:t>
            </w:r>
          </w:p>
          <w:p>
            <w:pPr>
              <w:keepNext w:val="0"/>
              <w:keepLines w:val="0"/>
              <w:pageBreakBefore w:val="0"/>
              <w:widowControl w:val="0"/>
              <w:kinsoku/>
              <w:wordWrap/>
              <w:overflowPunct/>
              <w:topLinePunct w:val="0"/>
              <w:bidi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②计算某个车间内所有声源在围护处产生的i倍频带叠加声压级</w:t>
            </w:r>
          </w:p>
          <w:p>
            <w:pPr>
              <w:keepNext w:val="0"/>
              <w:keepLines w:val="0"/>
              <w:pageBreakBefore w:val="0"/>
              <w:widowControl w:val="0"/>
              <w:kinsoku/>
              <w:wordWrap/>
              <w:overflowPunct/>
              <w:topLinePunct w:val="0"/>
              <w:bidi w:val="0"/>
              <w:spacing w:line="360" w:lineRule="auto"/>
              <w:ind w:left="0" w:leftChars="0" w:right="0" w:rightChars="0" w:firstLine="480" w:firstLineChars="20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position w:val="-30"/>
                <w:highlight w:val="none"/>
              </w:rPr>
              <w:object>
                <v:shape id="_x0000_i1028" o:spt="75" type="#_x0000_t75" style="height:37.85pt;width:124.15pt;" o:ole="t" filled="f" o:preferrelative="t" stroked="f" coordsize="21600,21600">
                  <v:path/>
                  <v:fill on="f" focussize="0,0"/>
                  <v:stroke on="f"/>
                  <v:imagedata r:id="rId20" o:title=""/>
                  <o:lock v:ext="edit" aspectratio="t"/>
                  <w10:wrap type="none"/>
                  <w10:anchorlock/>
                </v:shape>
                <o:OLEObject Type="Embed" ProgID="Equation.DSMT4" ShapeID="_x0000_i1028" DrawAspect="Content" ObjectID="_1468075728" r:id="rId19">
                  <o:LockedField>false</o:LockedField>
                </o:OLEObject>
              </w:object>
            </w:r>
          </w:p>
          <w:p>
            <w:pPr>
              <w:keepNext w:val="0"/>
              <w:keepLines w:val="0"/>
              <w:pageBreakBefore w:val="0"/>
              <w:widowControl w:val="0"/>
              <w:kinsoku/>
              <w:wordWrap/>
              <w:overflowPunct/>
              <w:topLinePunct w:val="0"/>
              <w:bidi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③靠近室外围护结构处的声压级：m</w:t>
            </w:r>
            <w:r>
              <w:rPr>
                <w:rFonts w:hint="default" w:ascii="Times New Roman" w:hAnsi="Times New Roman" w:eastAsia="宋体" w:cs="Times New Roman"/>
                <w:color w:val="auto"/>
                <w:highlight w:val="none"/>
                <w:vertAlign w:val="superscript"/>
              </w:rPr>
              <w:t>3</w:t>
            </w:r>
          </w:p>
          <w:p>
            <w:pPr>
              <w:keepNext w:val="0"/>
              <w:keepLines w:val="0"/>
              <w:pageBreakBefore w:val="0"/>
              <w:widowControl w:val="0"/>
              <w:kinsoku/>
              <w:wordWrap/>
              <w:overflowPunct/>
              <w:topLinePunct w:val="0"/>
              <w:bidi w:val="0"/>
              <w:spacing w:line="360" w:lineRule="auto"/>
              <w:ind w:left="0" w:leftChars="0" w:right="0" w:rightChars="0" w:firstLine="480" w:firstLineChars="20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position w:val="-10"/>
                <w:highlight w:val="none"/>
              </w:rPr>
              <w:object>
                <v:shape id="_x0000_i1029" o:spt="75" type="#_x0000_t75" style="height:19.85pt;width:144pt;" o:ole="t" filled="f" o:preferrelative="t" stroked="f" coordsize="21600,21600">
                  <v:path/>
                  <v:fill on="f" focussize="0,0"/>
                  <v:stroke on="f"/>
                  <v:imagedata r:id="rId22" o:title=""/>
                  <o:lock v:ext="edit" aspectratio="t"/>
                  <w10:wrap type="none"/>
                  <w10:anchorlock/>
                </v:shape>
                <o:OLEObject Type="Embed" ProgID="Equation.DSMT4" ShapeID="_x0000_i1029" DrawAspect="Content" ObjectID="_1468075729" r:id="rId21">
                  <o:LockedField>false</o:LockedField>
                </o:OLEObject>
              </w:object>
            </w:r>
          </w:p>
          <w:p>
            <w:pPr>
              <w:keepNext w:val="0"/>
              <w:keepLines w:val="0"/>
              <w:pageBreakBefore w:val="0"/>
              <w:widowControl w:val="0"/>
              <w:kinsoku/>
              <w:wordWrap/>
              <w:overflowPunct/>
              <w:topLinePunct w:val="0"/>
              <w:bidi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w:t>
            </w:r>
            <w:r>
              <w:rPr>
                <w:rFonts w:hint="default" w:ascii="Times New Roman" w:hAnsi="Times New Roman" w:eastAsia="宋体" w:cs="Times New Roman"/>
                <w:i/>
                <w:iCs/>
                <w:color w:val="auto"/>
                <w:highlight w:val="none"/>
              </w:rPr>
              <w:t>TLoct——</w:t>
            </w:r>
            <w:r>
              <w:rPr>
                <w:rFonts w:hint="default" w:ascii="Times New Roman" w:hAnsi="Times New Roman" w:eastAsia="宋体" w:cs="Times New Roman"/>
                <w:color w:val="auto"/>
                <w:highlight w:val="none"/>
              </w:rPr>
              <w:t>围护结构的传声损失，dB</w:t>
            </w:r>
            <w:r>
              <w:rPr>
                <w:rFonts w:hint="eastAsia" w:cs="Times New Roman"/>
                <w:color w:val="auto"/>
                <w:highlight w:val="none"/>
                <w:lang w:eastAsia="zh-CN"/>
              </w:rPr>
              <w:t>(A)</w:t>
            </w:r>
            <w:r>
              <w:rPr>
                <w:rFonts w:hint="default" w:ascii="Times New Roman" w:hAnsi="Times New Roman" w:eastAsia="宋体" w:cs="Times New Roman"/>
                <w:color w:val="auto"/>
                <w:highlight w:val="none"/>
              </w:rPr>
              <w:t>。</w:t>
            </w:r>
          </w:p>
          <w:p>
            <w:pPr>
              <w:keepNext w:val="0"/>
              <w:keepLines w:val="0"/>
              <w:pageBreakBefore w:val="0"/>
              <w:widowControl w:val="0"/>
              <w:kinsoku/>
              <w:wordWrap/>
              <w:overflowPunct/>
              <w:topLinePunct w:val="0"/>
              <w:bidi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④将室外声级Loct</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T</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和透声面积换算成室外等效声源，计算等效声源的声功率级：</w:t>
            </w:r>
          </w:p>
          <w:p>
            <w:pPr>
              <w:keepNext w:val="0"/>
              <w:keepLines w:val="0"/>
              <w:pageBreakBefore w:val="0"/>
              <w:widowControl w:val="0"/>
              <w:kinsoku/>
              <w:wordWrap/>
              <w:overflowPunct/>
              <w:topLinePunct w:val="0"/>
              <w:bidi w:val="0"/>
              <w:spacing w:line="360" w:lineRule="auto"/>
              <w:ind w:left="0" w:leftChars="0" w:right="0" w:rightChars="0" w:firstLine="480" w:firstLineChars="20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position w:val="-10"/>
                <w:highlight w:val="none"/>
              </w:rPr>
              <w:object>
                <v:shape id="_x0000_i1030" o:spt="75" type="#_x0000_t75" style="height:18.45pt;width:163.4pt;" o:ole="t" filled="f" o:preferrelative="t" stroked="f" coordsize="21600,21600">
                  <v:path/>
                  <v:fill on="f" focussize="0,0"/>
                  <v:stroke on="f"/>
                  <v:imagedata r:id="rId24" o:title=""/>
                  <o:lock v:ext="edit" aspectratio="t"/>
                  <w10:wrap type="none"/>
                  <w10:anchorlock/>
                </v:shape>
                <o:OLEObject Type="Embed" ProgID="Equation.DSMT4" ShapeID="_x0000_i1030" DrawAspect="Content" ObjectID="_1468075730" r:id="rId23">
                  <o:LockedField>false</o:LockedField>
                </o:OLEObject>
              </w:object>
            </w:r>
          </w:p>
          <w:p>
            <w:pPr>
              <w:keepNext w:val="0"/>
              <w:keepLines w:val="0"/>
              <w:pageBreakBefore w:val="0"/>
              <w:widowControl w:val="0"/>
              <w:kinsoku/>
              <w:wordWrap/>
              <w:overflowPunct/>
              <w:topLinePunct w:val="0"/>
              <w:bidi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式中：L</w:t>
            </w:r>
            <w:r>
              <w:rPr>
                <w:rFonts w:hint="default" w:ascii="Times New Roman" w:hAnsi="Times New Roman" w:eastAsia="宋体" w:cs="Times New Roman"/>
                <w:color w:val="auto"/>
                <w:highlight w:val="none"/>
                <w:vertAlign w:val="subscript"/>
              </w:rPr>
              <w:t>woct</w:t>
            </w:r>
            <w:r>
              <w:rPr>
                <w:rFonts w:hint="default" w:ascii="Times New Roman" w:hAnsi="Times New Roman" w:eastAsia="宋体" w:cs="Times New Roman"/>
                <w:color w:val="auto"/>
                <w:highlight w:val="none"/>
              </w:rPr>
              <w:t>——室外等效声源的声功率级，dB</w:t>
            </w:r>
            <w:r>
              <w:rPr>
                <w:rFonts w:hint="eastAsia" w:cs="Times New Roman"/>
                <w:color w:val="auto"/>
                <w:highlight w:val="none"/>
                <w:lang w:eastAsia="zh-CN"/>
              </w:rPr>
              <w:t>(A)</w:t>
            </w:r>
            <w:r>
              <w:rPr>
                <w:rFonts w:hint="default" w:ascii="Times New Roman" w:hAnsi="Times New Roman" w:eastAsia="宋体" w:cs="Times New Roman"/>
                <w:color w:val="auto"/>
                <w:highlight w:val="none"/>
              </w:rPr>
              <w:t>；</w:t>
            </w:r>
          </w:p>
          <w:p>
            <w:pPr>
              <w:keepNext w:val="0"/>
              <w:keepLines w:val="0"/>
              <w:pageBreakBefore w:val="0"/>
              <w:widowControl w:val="0"/>
              <w:kinsoku/>
              <w:wordWrap/>
              <w:overflowPunct/>
              <w:topLinePunct w:val="0"/>
              <w:bidi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S——透声面积，m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w:t>
            </w:r>
          </w:p>
          <w:p>
            <w:pPr>
              <w:keepNext w:val="0"/>
              <w:keepLines w:val="0"/>
              <w:pageBreakBefore w:val="0"/>
              <w:widowControl w:val="0"/>
              <w:kinsoku/>
              <w:wordWrap/>
              <w:overflowPunct/>
              <w:topLinePunct w:val="0"/>
              <w:bidi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⑤计算室外等效声源在预测点的声级：</w:t>
            </w:r>
          </w:p>
          <w:p>
            <w:pPr>
              <w:keepNext w:val="0"/>
              <w:keepLines w:val="0"/>
              <w:pageBreakBefore w:val="0"/>
              <w:widowControl w:val="0"/>
              <w:kinsoku/>
              <w:wordWrap/>
              <w:overflowPunct/>
              <w:topLinePunct w:val="0"/>
              <w:bidi w:val="0"/>
              <w:spacing w:line="360" w:lineRule="auto"/>
              <w:ind w:left="0" w:leftChars="0" w:right="0" w:rightChars="0" w:firstLine="480" w:firstLineChars="20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position w:val="-10"/>
                <w:highlight w:val="none"/>
              </w:rPr>
              <w:object>
                <v:shape id="_x0000_i1031" o:spt="75" type="#_x0000_t75" style="height:19.85pt;width:126pt;" o:ole="t" filled="f" o:preferrelative="t" stroked="f" coordsize="21600,21600">
                  <v:path/>
                  <v:fill on="f" focussize="0,0"/>
                  <v:stroke on="f"/>
                  <v:imagedata r:id="rId26" o:title=""/>
                  <o:lock v:ext="edit" aspectratio="t"/>
                  <w10:wrap type="none"/>
                  <w10:anchorlock/>
                </v:shape>
                <o:OLEObject Type="Embed" ProgID="Equation.DSMT4" ShapeID="_x0000_i1031" DrawAspect="Content" ObjectID="_1468075731" r:id="rId25">
                  <o:LockedField>false</o:LockedField>
                </o:OLEObject>
              </w:object>
            </w:r>
          </w:p>
          <w:p>
            <w:pPr>
              <w:keepNext w:val="0"/>
              <w:keepLines w:val="0"/>
              <w:pageBreakBefore w:val="0"/>
              <w:widowControl w:val="0"/>
              <w:kinsoku/>
              <w:wordWrap/>
              <w:overflowPunct/>
              <w:topLinePunct w:val="0"/>
              <w:bidi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式中：Loct（r）——点声源在预测点产生的声压级，dB</w:t>
            </w:r>
            <w:r>
              <w:rPr>
                <w:rFonts w:hint="eastAsia" w:cs="Times New Roman"/>
                <w:color w:val="auto"/>
                <w:highlight w:val="none"/>
                <w:lang w:eastAsia="zh-CN"/>
              </w:rPr>
              <w:t>(A)</w:t>
            </w:r>
            <w:r>
              <w:rPr>
                <w:rFonts w:hint="default" w:ascii="Times New Roman" w:hAnsi="Times New Roman" w:eastAsia="宋体" w:cs="Times New Roman"/>
                <w:color w:val="auto"/>
                <w:highlight w:val="none"/>
              </w:rPr>
              <w:t>；</w:t>
            </w:r>
          </w:p>
          <w:p>
            <w:pPr>
              <w:keepNext w:val="0"/>
              <w:keepLines w:val="0"/>
              <w:pageBreakBefore w:val="0"/>
              <w:widowControl w:val="0"/>
              <w:kinsoku/>
              <w:wordWrap/>
              <w:overflowPunct/>
              <w:topLinePunct w:val="0"/>
              <w:bidi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r——测点距点声源的距离，m。</w:t>
            </w:r>
          </w:p>
          <w:p>
            <w:pPr>
              <w:keepNext w:val="0"/>
              <w:keepLines w:val="0"/>
              <w:pageBreakBefore w:val="0"/>
              <w:widowControl w:val="0"/>
              <w:kinsoku/>
              <w:wordWrap/>
              <w:overflowPunct/>
              <w:topLinePunct w:val="0"/>
              <w:bidi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⑥拟建工程对预测点产生的贡献值：</w:t>
            </w:r>
          </w:p>
          <w:p>
            <w:pPr>
              <w:keepNext w:val="0"/>
              <w:keepLines w:val="0"/>
              <w:pageBreakBefore w:val="0"/>
              <w:widowControl w:val="0"/>
              <w:kinsoku/>
              <w:wordWrap/>
              <w:overflowPunct/>
              <w:topLinePunct w:val="0"/>
              <w:bidi w:val="0"/>
              <w:spacing w:line="360" w:lineRule="auto"/>
              <w:ind w:left="0" w:leftChars="0" w:right="0" w:rightChars="0" w:firstLine="480" w:firstLineChars="20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position w:val="-30"/>
                <w:highlight w:val="none"/>
              </w:rPr>
              <w:object>
                <v:shape id="_x0000_i1032" o:spt="75" type="#_x0000_t75" style="height:37.85pt;width:192pt;" o:ole="t" filled="f" o:preferrelative="t" stroked="f" coordsize="21600,21600">
                  <v:path/>
                  <v:fill on="f" focussize="0,0"/>
                  <v:stroke on="f"/>
                  <v:imagedata r:id="rId28" o:title=""/>
                  <o:lock v:ext="edit" aspectratio="t"/>
                  <w10:wrap type="none"/>
                  <w10:anchorlock/>
                </v:shape>
                <o:OLEObject Type="Embed" ProgID="Equation.DSMT4" ShapeID="_x0000_i1032" DrawAspect="Content" ObjectID="_1468075732" r:id="rId27">
                  <o:LockedField>false</o:LockedField>
                </o:OLEObject>
              </w:object>
            </w:r>
          </w:p>
          <w:p>
            <w:pPr>
              <w:keepNext w:val="0"/>
              <w:keepLines w:val="0"/>
              <w:pageBreakBefore w:val="0"/>
              <w:widowControl w:val="0"/>
              <w:kinsoku/>
              <w:wordWrap/>
              <w:overflowPunct/>
              <w:topLinePunct w:val="0"/>
              <w:bidi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式中：LAout</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i——声源在预测点产生的A声级，dB</w:t>
            </w:r>
            <w:r>
              <w:rPr>
                <w:rFonts w:hint="eastAsia" w:cs="Times New Roman"/>
                <w:color w:val="auto"/>
                <w:highlight w:val="none"/>
                <w:lang w:eastAsia="zh-CN"/>
              </w:rPr>
              <w:t>(A)</w:t>
            </w:r>
            <w:r>
              <w:rPr>
                <w:rFonts w:hint="default" w:ascii="Times New Roman" w:hAnsi="Times New Roman" w:eastAsia="宋体" w:cs="Times New Roman"/>
                <w:color w:val="auto"/>
                <w:highlight w:val="none"/>
              </w:rPr>
              <w:t>；</w:t>
            </w:r>
          </w:p>
          <w:p>
            <w:pPr>
              <w:keepNext w:val="0"/>
              <w:keepLines w:val="0"/>
              <w:pageBreakBefore w:val="0"/>
              <w:widowControl w:val="0"/>
              <w:kinsoku/>
              <w:wordWrap/>
              <w:overflowPunct/>
              <w:topLinePunct w:val="0"/>
              <w:bidi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t——在T时间内该声源工作的时间；</w:t>
            </w:r>
          </w:p>
          <w:p>
            <w:pPr>
              <w:keepNext w:val="0"/>
              <w:keepLines w:val="0"/>
              <w:pageBreakBefore w:val="0"/>
              <w:widowControl w:val="0"/>
              <w:kinsoku/>
              <w:wordWrap/>
              <w:overflowPunct/>
              <w:topLinePunct w:val="0"/>
              <w:bidi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M——等效室外声源数，个。</w:t>
            </w:r>
          </w:p>
          <w:p>
            <w:pPr>
              <w:keepNext w:val="0"/>
              <w:keepLines w:val="0"/>
              <w:pageBreakBefore w:val="0"/>
              <w:widowControl w:val="0"/>
              <w:kinsoku/>
              <w:wordWrap/>
              <w:overflowPunct/>
              <w:topLinePunct w:val="0"/>
              <w:bidi w:val="0"/>
              <w:spacing w:line="360" w:lineRule="auto"/>
              <w:ind w:left="0" w:leftChars="0" w:right="0" w:righ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7 \* GB3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⑦</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噪声预测值计算</w:t>
            </w:r>
          </w:p>
          <w:p>
            <w:pPr>
              <w:keepNext w:val="0"/>
              <w:keepLines w:val="0"/>
              <w:pageBreakBefore w:val="0"/>
              <w:widowControl w:val="0"/>
              <w:kinsoku/>
              <w:wordWrap/>
              <w:overflowPunct/>
              <w:topLinePunct w:val="0"/>
              <w:bidi w:val="0"/>
              <w:spacing w:line="360" w:lineRule="auto"/>
              <w:ind w:left="0" w:leftChars="0" w:right="0" w:rightChars="0" w:firstLine="480" w:firstLineChars="20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position w:val="-18"/>
                <w:highlight w:val="none"/>
              </w:rPr>
              <w:object>
                <v:shape id="_x0000_i1033" o:spt="75" type="#_x0000_t75" style="height:24pt;width:143.55pt;" o:ole="t" filled="f" o:preferrelative="t" stroked="f" coordsize="21600,21600">
                  <v:path/>
                  <v:fill on="f" focussize="0,0"/>
                  <v:stroke on="f"/>
                  <v:imagedata r:id="rId30" o:title=""/>
                  <o:lock v:ext="edit" aspectratio="t"/>
                  <w10:wrap type="none"/>
                  <w10:anchorlock/>
                </v:shape>
                <o:OLEObject Type="Embed" ProgID="Equation.DSMT4" ShapeID="_x0000_i1033" DrawAspect="Content" ObjectID="_1468075733" r:id="rId29">
                  <o:LockedField>false</o:LockedField>
                </o:OLEObject>
              </w:object>
            </w:r>
          </w:p>
          <w:p>
            <w:pPr>
              <w:keepNext w:val="0"/>
              <w:keepLines w:val="0"/>
              <w:pageBreakBefore w:val="0"/>
              <w:widowControl w:val="0"/>
              <w:kinsoku/>
              <w:wordWrap/>
              <w:overflowPunct/>
              <w:topLinePunct w:val="0"/>
              <w:bidi w:val="0"/>
              <w:spacing w:line="360" w:lineRule="auto"/>
              <w:ind w:left="0" w:leftChars="0" w:right="0" w:rightChars="0" w:firstLine="480" w:firstLineChars="200"/>
              <w:jc w:val="lef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式中：L</w:t>
            </w:r>
            <w:r>
              <w:rPr>
                <w:rFonts w:hint="default" w:ascii="Times New Roman" w:hAnsi="Times New Roman" w:eastAsia="宋体" w:cs="Times New Roman"/>
                <w:color w:val="auto"/>
                <w:highlight w:val="none"/>
                <w:vertAlign w:val="subscript"/>
              </w:rPr>
              <w:t>eqg</w:t>
            </w:r>
            <w:r>
              <w:rPr>
                <w:rFonts w:hint="default" w:ascii="Times New Roman" w:hAnsi="Times New Roman" w:eastAsia="宋体" w:cs="Times New Roman"/>
                <w:color w:val="auto"/>
                <w:highlight w:val="none"/>
              </w:rPr>
              <w:t>——建设项目声源在预测点的等效声级贡献值，dB</w:t>
            </w:r>
            <w:r>
              <w:rPr>
                <w:rFonts w:hint="eastAsia" w:cs="Times New Roman"/>
                <w:color w:val="auto"/>
                <w:highlight w:val="none"/>
                <w:lang w:eastAsia="zh-CN"/>
              </w:rPr>
              <w:t>(A)</w:t>
            </w:r>
            <w:r>
              <w:rPr>
                <w:rFonts w:hint="default" w:ascii="Times New Roman" w:hAnsi="Times New Roman" w:eastAsia="宋体" w:cs="Times New Roman"/>
                <w:color w:val="auto"/>
                <w:highlight w:val="none"/>
              </w:rPr>
              <w:t>；</w:t>
            </w:r>
          </w:p>
          <w:p>
            <w:pPr>
              <w:keepNext w:val="0"/>
              <w:keepLines w:val="0"/>
              <w:pageBreakBefore w:val="0"/>
              <w:widowControl w:val="0"/>
              <w:kinsoku/>
              <w:wordWrap/>
              <w:overflowPunct/>
              <w:topLinePunct w:val="0"/>
              <w:bidi w:val="0"/>
              <w:spacing w:line="360" w:lineRule="auto"/>
              <w:ind w:left="0" w:leftChars="0" w:right="0" w:rightChars="0" w:firstLine="480" w:firstLineChars="200"/>
              <w:jc w:val="lef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L</w:t>
            </w:r>
            <w:r>
              <w:rPr>
                <w:rFonts w:hint="default" w:ascii="Times New Roman" w:hAnsi="Times New Roman" w:eastAsia="宋体" w:cs="Times New Roman"/>
                <w:color w:val="auto"/>
                <w:highlight w:val="none"/>
                <w:vertAlign w:val="subscript"/>
              </w:rPr>
              <w:t>eqb</w:t>
            </w:r>
            <w:r>
              <w:rPr>
                <w:rFonts w:hint="default" w:ascii="Times New Roman" w:hAnsi="Times New Roman" w:eastAsia="宋体" w:cs="Times New Roman"/>
                <w:color w:val="auto"/>
                <w:highlight w:val="none"/>
              </w:rPr>
              <w:t>——预测点的背景值，dB</w:t>
            </w:r>
            <w:r>
              <w:rPr>
                <w:rFonts w:hint="eastAsia" w:cs="Times New Roman"/>
                <w:color w:val="auto"/>
                <w:highlight w:val="none"/>
                <w:lang w:eastAsia="zh-CN"/>
              </w:rPr>
              <w:t>(A)</w:t>
            </w:r>
            <w:r>
              <w:rPr>
                <w:rFonts w:hint="default" w:ascii="Times New Roman" w:hAnsi="Times New Roman" w:eastAsia="宋体" w:cs="Times New Roman"/>
                <w:color w:val="auto"/>
                <w:highlight w:val="none"/>
              </w:rPr>
              <w:t>；</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rightChars="0" w:firstLine="482" w:firstLineChars="200"/>
              <w:jc w:val="left"/>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lang w:val="en-US" w:eastAsia="zh-CN"/>
              </w:rPr>
              <w:t>3.3</w:t>
            </w:r>
            <w:r>
              <w:rPr>
                <w:rFonts w:hint="default" w:ascii="Times New Roman" w:hAnsi="Times New Roman" w:eastAsia="宋体" w:cs="Times New Roman"/>
                <w:b/>
                <w:bCs/>
                <w:color w:val="auto"/>
                <w:highlight w:val="none"/>
              </w:rPr>
              <w:t>预测结果与评价</w:t>
            </w:r>
          </w:p>
          <w:p>
            <w:pPr>
              <w:keepNext w:val="0"/>
              <w:keepLines w:val="0"/>
              <w:pageBreakBefore w:val="0"/>
              <w:widowControl w:val="0"/>
              <w:kinsoku/>
              <w:wordWrap/>
              <w:overflowPunct/>
              <w:topLinePunct w:val="0"/>
              <w:bidi w:val="0"/>
              <w:spacing w:line="360" w:lineRule="auto"/>
              <w:ind w:left="0" w:leftChars="0" w:right="0" w:rightChars="0" w:firstLine="480" w:firstLineChars="200"/>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color w:val="auto"/>
                <w:sz w:val="24"/>
                <w:highlight w:val="none"/>
              </w:rPr>
              <w:t>根据模式预测结果，噪声源对各预测点的影</w:t>
            </w:r>
            <w:r>
              <w:rPr>
                <w:rFonts w:hint="default" w:ascii="Times New Roman" w:hAnsi="Times New Roman" w:eastAsia="宋体" w:cs="Times New Roman"/>
                <w:color w:val="auto"/>
                <w:sz w:val="24"/>
                <w:szCs w:val="24"/>
                <w:highlight w:val="none"/>
              </w:rPr>
              <w:t>响预测结果见表</w:t>
            </w:r>
            <w:r>
              <w:rPr>
                <w:rFonts w:hint="default" w:ascii="Times New Roman" w:hAnsi="Times New Roman" w:eastAsia="宋体" w:cs="Times New Roman"/>
                <w:color w:val="auto"/>
                <w:sz w:val="24"/>
                <w:szCs w:val="24"/>
                <w:highlight w:val="none"/>
                <w:lang w:val="en-US" w:eastAsia="zh-CN"/>
              </w:rPr>
              <w:t>4-8</w:t>
            </w:r>
            <w:r>
              <w:rPr>
                <w:rFonts w:hint="default" w:ascii="Times New Roman" w:hAnsi="Times New Roman" w:eastAsia="宋体" w:cs="Times New Roman"/>
                <w:color w:val="auto"/>
                <w:sz w:val="24"/>
                <w:szCs w:val="24"/>
                <w:highlight w:val="none"/>
              </w:rPr>
              <w:t>。</w:t>
            </w:r>
          </w:p>
          <w:p>
            <w:pPr>
              <w:tabs>
                <w:tab w:val="center" w:pos="4153"/>
                <w:tab w:val="right" w:pos="8306"/>
              </w:tabs>
              <w:kinsoku/>
              <w:wordWrap/>
              <w:bidi w:val="0"/>
              <w:adjustRightInd/>
              <w:spacing w:line="360" w:lineRule="auto"/>
              <w:ind w:left="0" w:leftChars="0" w:right="0" w:rightChars="0" w:firstLine="0" w:firstLineChars="0"/>
              <w:jc w:val="center"/>
              <w:textAlignment w:val="auto"/>
              <w:rPr>
                <w:rFonts w:hint="default" w:ascii="Times New Roman" w:hAnsi="Times New Roman" w:eastAsia="宋体" w:cs="Times New Roman"/>
                <w:b/>
                <w:color w:val="auto"/>
                <w:kern w:val="0"/>
                <w:sz w:val="24"/>
                <w:szCs w:val="24"/>
                <w:highlight w:val="none"/>
              </w:rPr>
            </w:pPr>
            <w:r>
              <w:rPr>
                <w:rFonts w:hint="default" w:ascii="Times New Roman" w:hAnsi="Times New Roman" w:eastAsia="宋体" w:cs="Times New Roman"/>
                <w:b/>
                <w:bCs/>
                <w:color w:val="auto"/>
                <w:kern w:val="0"/>
                <w:sz w:val="24"/>
                <w:szCs w:val="24"/>
                <w:highlight w:val="none"/>
              </w:rPr>
              <w:t>表</w:t>
            </w:r>
            <w:r>
              <w:rPr>
                <w:rFonts w:hint="default" w:ascii="Times New Roman" w:hAnsi="Times New Roman" w:eastAsia="宋体" w:cs="Times New Roman"/>
                <w:b/>
                <w:bCs/>
                <w:color w:val="auto"/>
                <w:kern w:val="0"/>
                <w:sz w:val="24"/>
                <w:szCs w:val="24"/>
                <w:highlight w:val="none"/>
                <w:lang w:val="en-US" w:eastAsia="zh-CN"/>
              </w:rPr>
              <w:t xml:space="preserve">4-8  </w:t>
            </w:r>
            <w:r>
              <w:rPr>
                <w:rFonts w:hint="default" w:ascii="Times New Roman" w:hAnsi="Times New Roman" w:eastAsia="宋体" w:cs="Times New Roman"/>
                <w:b/>
                <w:color w:val="auto"/>
                <w:kern w:val="0"/>
                <w:sz w:val="24"/>
                <w:szCs w:val="24"/>
                <w:highlight w:val="none"/>
              </w:rPr>
              <w:t>厂界噪声预测结果</w:t>
            </w:r>
            <w:r>
              <w:rPr>
                <w:rFonts w:hint="default" w:ascii="Times New Roman" w:hAnsi="Times New Roman" w:eastAsia="宋体" w:cs="Times New Roman"/>
                <w:b/>
                <w:color w:val="auto"/>
                <w:kern w:val="0"/>
                <w:sz w:val="24"/>
                <w:szCs w:val="24"/>
                <w:highlight w:val="none"/>
                <w:lang w:eastAsia="zh-CN"/>
              </w:rPr>
              <w:t>（</w:t>
            </w:r>
            <w:r>
              <w:rPr>
                <w:rFonts w:hint="default" w:ascii="Times New Roman" w:hAnsi="Times New Roman" w:eastAsia="宋体" w:cs="Times New Roman"/>
                <w:b/>
                <w:color w:val="auto"/>
                <w:kern w:val="0"/>
                <w:sz w:val="24"/>
                <w:szCs w:val="24"/>
                <w:highlight w:val="none"/>
              </w:rPr>
              <w:t>单位：dB</w:t>
            </w:r>
            <w:r>
              <w:rPr>
                <w:rFonts w:hint="eastAsia" w:cs="Times New Roman"/>
                <w:b/>
                <w:color w:val="auto"/>
                <w:kern w:val="0"/>
                <w:sz w:val="24"/>
                <w:szCs w:val="24"/>
                <w:highlight w:val="none"/>
                <w:lang w:eastAsia="zh-CN"/>
              </w:rPr>
              <w:t>(A)</w:t>
            </w:r>
            <w:r>
              <w:rPr>
                <w:rFonts w:hint="default" w:ascii="Times New Roman" w:hAnsi="Times New Roman" w:eastAsia="宋体" w:cs="Times New Roman"/>
                <w:b/>
                <w:color w:val="auto"/>
                <w:kern w:val="0"/>
                <w:sz w:val="24"/>
                <w:szCs w:val="24"/>
                <w:highlight w:val="none"/>
              </w:rPr>
              <w:t>）</w:t>
            </w:r>
          </w:p>
          <w:tbl>
            <w:tblPr>
              <w:tblStyle w:val="19"/>
              <w:tblW w:w="81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2"/>
              <w:gridCol w:w="1012"/>
              <w:gridCol w:w="1013"/>
              <w:gridCol w:w="1014"/>
              <w:gridCol w:w="1014"/>
              <w:gridCol w:w="1014"/>
              <w:gridCol w:w="1014"/>
              <w:gridCol w:w="10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024" w:type="dxa"/>
                  <w:gridSpan w:val="2"/>
                  <w:vMerge w:val="restart"/>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de-DE"/>
                    </w:rPr>
                  </w:pPr>
                  <w:r>
                    <w:rPr>
                      <w:rFonts w:hint="default" w:ascii="Times New Roman" w:hAnsi="Times New Roman" w:eastAsia="宋体" w:cs="Times New Roman"/>
                      <w:color w:val="auto"/>
                      <w:sz w:val="21"/>
                      <w:szCs w:val="21"/>
                      <w:highlight w:val="none"/>
                      <w:lang w:val="de-DE"/>
                    </w:rPr>
                    <w:t>预测点位</w:t>
                  </w:r>
                </w:p>
              </w:tc>
              <w:tc>
                <w:tcPr>
                  <w:tcW w:w="3041" w:type="dxa"/>
                  <w:gridSpan w:val="3"/>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de-DE"/>
                    </w:rPr>
                  </w:pPr>
                  <w:r>
                    <w:rPr>
                      <w:rFonts w:hint="default" w:ascii="Times New Roman" w:hAnsi="Times New Roman" w:eastAsia="宋体" w:cs="Times New Roman"/>
                      <w:color w:val="auto"/>
                      <w:sz w:val="21"/>
                      <w:szCs w:val="21"/>
                      <w:highlight w:val="none"/>
                      <w:lang w:val="de-DE"/>
                    </w:rPr>
                    <w:t>昼间</w:t>
                  </w:r>
                </w:p>
              </w:tc>
              <w:tc>
                <w:tcPr>
                  <w:tcW w:w="3042" w:type="dxa"/>
                  <w:gridSpan w:val="3"/>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de-DE" w:eastAsia="zh-CN"/>
                    </w:rPr>
                  </w:pPr>
                  <w:r>
                    <w:rPr>
                      <w:rFonts w:hint="default" w:ascii="Times New Roman" w:hAnsi="Times New Roman" w:eastAsia="宋体" w:cs="Times New Roman"/>
                      <w:color w:val="auto"/>
                      <w:sz w:val="21"/>
                      <w:szCs w:val="21"/>
                      <w:highlight w:val="none"/>
                      <w:lang w:val="de-DE"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024" w:type="dxa"/>
                  <w:gridSpan w:val="2"/>
                  <w:vMerge w:val="continue"/>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de-DE"/>
                    </w:rPr>
                  </w:pPr>
                </w:p>
              </w:tc>
              <w:tc>
                <w:tcPr>
                  <w:tcW w:w="1013" w:type="dxa"/>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de-DE" w:eastAsia="zh-CN" w:bidi="ar-SA"/>
                    </w:rPr>
                  </w:pPr>
                  <w:r>
                    <w:rPr>
                      <w:rFonts w:hint="default" w:ascii="Times New Roman" w:hAnsi="Times New Roman" w:eastAsia="宋体" w:cs="Times New Roman"/>
                      <w:color w:val="auto"/>
                      <w:sz w:val="21"/>
                      <w:szCs w:val="21"/>
                      <w:highlight w:val="none"/>
                      <w:lang w:val="de-DE" w:eastAsia="zh-CN"/>
                    </w:rPr>
                    <w:t>现状值</w:t>
                  </w:r>
                </w:p>
              </w:tc>
              <w:tc>
                <w:tcPr>
                  <w:tcW w:w="1014" w:type="dxa"/>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de-DE" w:eastAsia="zh-CN" w:bidi="ar-SA"/>
                    </w:rPr>
                  </w:pPr>
                  <w:r>
                    <w:rPr>
                      <w:rFonts w:hint="default" w:ascii="Times New Roman" w:hAnsi="Times New Roman" w:eastAsia="宋体" w:cs="Times New Roman"/>
                      <w:color w:val="auto"/>
                      <w:sz w:val="21"/>
                      <w:szCs w:val="21"/>
                      <w:highlight w:val="none"/>
                      <w:lang w:val="de-DE"/>
                    </w:rPr>
                    <w:t>贡献值</w:t>
                  </w:r>
                </w:p>
              </w:tc>
              <w:tc>
                <w:tcPr>
                  <w:tcW w:w="1014" w:type="dxa"/>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de-DE" w:eastAsia="zh-CN" w:bidi="ar-SA"/>
                    </w:rPr>
                  </w:pPr>
                  <w:r>
                    <w:rPr>
                      <w:rFonts w:hint="default" w:ascii="Times New Roman" w:hAnsi="Times New Roman" w:eastAsia="宋体" w:cs="Times New Roman"/>
                      <w:color w:val="auto"/>
                      <w:sz w:val="21"/>
                      <w:szCs w:val="21"/>
                      <w:highlight w:val="none"/>
                      <w:lang w:val="de-DE" w:eastAsia="zh-CN"/>
                    </w:rPr>
                    <w:t>预测值</w:t>
                  </w:r>
                </w:p>
              </w:tc>
              <w:tc>
                <w:tcPr>
                  <w:tcW w:w="1014" w:type="dxa"/>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de-DE" w:eastAsia="zh-CN"/>
                    </w:rPr>
                  </w:pPr>
                  <w:r>
                    <w:rPr>
                      <w:rFonts w:hint="default" w:ascii="Times New Roman" w:hAnsi="Times New Roman" w:eastAsia="宋体" w:cs="Times New Roman"/>
                      <w:color w:val="auto"/>
                      <w:sz w:val="21"/>
                      <w:szCs w:val="21"/>
                      <w:highlight w:val="none"/>
                      <w:lang w:val="de-DE" w:eastAsia="zh-CN"/>
                    </w:rPr>
                    <w:t>现状值</w:t>
                  </w:r>
                </w:p>
              </w:tc>
              <w:tc>
                <w:tcPr>
                  <w:tcW w:w="1014" w:type="dxa"/>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de-DE" w:eastAsia="zh-CN" w:bidi="ar-SA"/>
                    </w:rPr>
                  </w:pPr>
                  <w:r>
                    <w:rPr>
                      <w:rFonts w:hint="default" w:ascii="Times New Roman" w:hAnsi="Times New Roman" w:eastAsia="宋体" w:cs="Times New Roman"/>
                      <w:color w:val="auto"/>
                      <w:sz w:val="21"/>
                      <w:szCs w:val="21"/>
                      <w:highlight w:val="none"/>
                      <w:lang w:val="de-DE"/>
                    </w:rPr>
                    <w:t>贡献值</w:t>
                  </w:r>
                </w:p>
              </w:tc>
              <w:tc>
                <w:tcPr>
                  <w:tcW w:w="1014" w:type="dxa"/>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de-DE" w:eastAsia="zh-CN" w:bidi="ar-SA"/>
                    </w:rPr>
                  </w:pPr>
                  <w:r>
                    <w:rPr>
                      <w:rFonts w:hint="default" w:ascii="Times New Roman" w:hAnsi="Times New Roman" w:eastAsia="宋体" w:cs="Times New Roman"/>
                      <w:color w:val="auto"/>
                      <w:sz w:val="21"/>
                      <w:szCs w:val="21"/>
                      <w:highlight w:val="none"/>
                      <w:lang w:val="de-DE" w:eastAsia="zh-CN"/>
                    </w:rPr>
                    <w:t>预测值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12" w:type="dxa"/>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de-DE"/>
                    </w:rPr>
                  </w:pPr>
                  <w:r>
                    <w:rPr>
                      <w:rFonts w:hint="default" w:ascii="Times New Roman" w:hAnsi="Times New Roman" w:eastAsia="宋体" w:cs="Times New Roman"/>
                      <w:color w:val="auto"/>
                      <w:sz w:val="21"/>
                      <w:szCs w:val="21"/>
                      <w:highlight w:val="none"/>
                      <w:lang w:val="de-DE"/>
                    </w:rPr>
                    <w:t>1</w:t>
                  </w:r>
                </w:p>
              </w:tc>
              <w:tc>
                <w:tcPr>
                  <w:tcW w:w="1012" w:type="dxa"/>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项目东侧</w:t>
                  </w:r>
                </w:p>
              </w:tc>
              <w:tc>
                <w:tcPr>
                  <w:tcW w:w="1013" w:type="dxa"/>
                  <w:tcBorders>
                    <w:left w:val="single" w:color="auto" w:sz="2" w:space="0"/>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57</w:t>
                  </w:r>
                </w:p>
              </w:tc>
              <w:tc>
                <w:tcPr>
                  <w:tcW w:w="1014" w:type="dxa"/>
                  <w:tcBorders>
                    <w:left w:val="single" w:color="auto" w:sz="2" w:space="0"/>
                  </w:tcBorders>
                  <w:tcMar>
                    <w:left w:w="28" w:type="dxa"/>
                    <w:right w:w="28" w:type="dxa"/>
                  </w:tcMar>
                  <w:vAlign w:val="center"/>
                </w:tcPr>
                <w:p>
                  <w:pPr>
                    <w:keepNext w:val="0"/>
                    <w:keepLines w:val="0"/>
                    <w:pageBreakBefore w:val="0"/>
                    <w:widowControl w:val="0"/>
                    <w:tabs>
                      <w:tab w:val="left" w:pos="496"/>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32.4</w:t>
                  </w:r>
                </w:p>
              </w:tc>
              <w:tc>
                <w:tcPr>
                  <w:tcW w:w="1014" w:type="dxa"/>
                  <w:tcBorders>
                    <w:left w:val="single" w:color="auto" w:sz="2" w:space="0"/>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57.01</w:t>
                  </w:r>
                </w:p>
              </w:tc>
              <w:tc>
                <w:tcPr>
                  <w:tcW w:w="1014" w:type="dxa"/>
                  <w:tcBorders>
                    <w:left w:val="single" w:color="auto" w:sz="2" w:space="0"/>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52</w:t>
                  </w:r>
                </w:p>
              </w:tc>
              <w:tc>
                <w:tcPr>
                  <w:tcW w:w="1014" w:type="dxa"/>
                  <w:tcBorders>
                    <w:left w:val="single" w:color="auto" w:sz="2" w:space="0"/>
                  </w:tcBorders>
                  <w:tcMar>
                    <w:left w:w="28" w:type="dxa"/>
                    <w:right w:w="28" w:type="dxa"/>
                  </w:tcMar>
                  <w:vAlign w:val="center"/>
                </w:tcPr>
                <w:p>
                  <w:pPr>
                    <w:keepNext w:val="0"/>
                    <w:keepLines w:val="0"/>
                    <w:pageBreakBefore w:val="0"/>
                    <w:widowControl w:val="0"/>
                    <w:tabs>
                      <w:tab w:val="left" w:pos="496"/>
                    </w:tabs>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32.4</w:t>
                  </w:r>
                </w:p>
              </w:tc>
              <w:tc>
                <w:tcPr>
                  <w:tcW w:w="1014" w:type="dxa"/>
                  <w:tcBorders>
                    <w:left w:val="single" w:color="auto" w:sz="2" w:space="0"/>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12" w:type="dxa"/>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de-DE"/>
                    </w:rPr>
                  </w:pPr>
                  <w:r>
                    <w:rPr>
                      <w:rFonts w:hint="default" w:ascii="Times New Roman" w:hAnsi="Times New Roman" w:eastAsia="宋体" w:cs="Times New Roman"/>
                      <w:color w:val="auto"/>
                      <w:sz w:val="21"/>
                      <w:szCs w:val="21"/>
                      <w:highlight w:val="none"/>
                      <w:lang w:val="de-DE"/>
                    </w:rPr>
                    <w:t>2</w:t>
                  </w:r>
                </w:p>
              </w:tc>
              <w:tc>
                <w:tcPr>
                  <w:tcW w:w="1012" w:type="dxa"/>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项目南侧</w:t>
                  </w:r>
                </w:p>
              </w:tc>
              <w:tc>
                <w:tcPr>
                  <w:tcW w:w="1013" w:type="dxa"/>
                  <w:tcBorders>
                    <w:left w:val="single" w:color="auto" w:sz="2" w:space="0"/>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57</w:t>
                  </w:r>
                </w:p>
              </w:tc>
              <w:tc>
                <w:tcPr>
                  <w:tcW w:w="1014" w:type="dxa"/>
                  <w:tcBorders>
                    <w:left w:val="single" w:color="auto" w:sz="2" w:space="0"/>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31.1</w:t>
                  </w:r>
                </w:p>
              </w:tc>
              <w:tc>
                <w:tcPr>
                  <w:tcW w:w="1014" w:type="dxa"/>
                  <w:tcBorders>
                    <w:left w:val="single" w:color="auto" w:sz="2" w:space="0"/>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57.01</w:t>
                  </w:r>
                </w:p>
              </w:tc>
              <w:tc>
                <w:tcPr>
                  <w:tcW w:w="1014" w:type="dxa"/>
                  <w:tcBorders>
                    <w:left w:val="single" w:color="auto" w:sz="2" w:space="0"/>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54</w:t>
                  </w:r>
                </w:p>
              </w:tc>
              <w:tc>
                <w:tcPr>
                  <w:tcW w:w="1014" w:type="dxa"/>
                  <w:tcBorders>
                    <w:left w:val="single" w:color="auto" w:sz="2" w:space="0"/>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31.1</w:t>
                  </w:r>
                </w:p>
              </w:tc>
              <w:tc>
                <w:tcPr>
                  <w:tcW w:w="1014" w:type="dxa"/>
                  <w:tcBorders>
                    <w:left w:val="single" w:color="auto" w:sz="2" w:space="0"/>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54.02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12" w:type="dxa"/>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de-DE"/>
                    </w:rPr>
                  </w:pPr>
                  <w:r>
                    <w:rPr>
                      <w:rFonts w:hint="default" w:ascii="Times New Roman" w:hAnsi="Times New Roman" w:eastAsia="宋体" w:cs="Times New Roman"/>
                      <w:color w:val="auto"/>
                      <w:sz w:val="21"/>
                      <w:szCs w:val="21"/>
                      <w:highlight w:val="none"/>
                      <w:lang w:val="de-DE"/>
                    </w:rPr>
                    <w:t>3</w:t>
                  </w:r>
                </w:p>
              </w:tc>
              <w:tc>
                <w:tcPr>
                  <w:tcW w:w="1012" w:type="dxa"/>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项目西侧</w:t>
                  </w:r>
                </w:p>
              </w:tc>
              <w:tc>
                <w:tcPr>
                  <w:tcW w:w="1013" w:type="dxa"/>
                  <w:tcBorders>
                    <w:left w:val="single" w:color="auto" w:sz="2" w:space="0"/>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59</w:t>
                  </w:r>
                </w:p>
              </w:tc>
              <w:tc>
                <w:tcPr>
                  <w:tcW w:w="1014" w:type="dxa"/>
                  <w:tcBorders>
                    <w:left w:val="single" w:color="auto" w:sz="2" w:space="0"/>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31.8</w:t>
                  </w:r>
                </w:p>
              </w:tc>
              <w:tc>
                <w:tcPr>
                  <w:tcW w:w="1014" w:type="dxa"/>
                  <w:tcBorders>
                    <w:left w:val="single" w:color="auto" w:sz="2" w:space="0"/>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59.01</w:t>
                  </w:r>
                </w:p>
              </w:tc>
              <w:tc>
                <w:tcPr>
                  <w:tcW w:w="1014" w:type="dxa"/>
                  <w:tcBorders>
                    <w:left w:val="single" w:color="auto" w:sz="2" w:space="0"/>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54</w:t>
                  </w:r>
                </w:p>
              </w:tc>
              <w:tc>
                <w:tcPr>
                  <w:tcW w:w="1014" w:type="dxa"/>
                  <w:tcBorders>
                    <w:left w:val="single" w:color="auto" w:sz="2" w:space="0"/>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31.8</w:t>
                  </w:r>
                </w:p>
              </w:tc>
              <w:tc>
                <w:tcPr>
                  <w:tcW w:w="1014" w:type="dxa"/>
                  <w:tcBorders>
                    <w:left w:val="single" w:color="auto" w:sz="2" w:space="0"/>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54.02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12" w:type="dxa"/>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de-DE"/>
                    </w:rPr>
                  </w:pPr>
                  <w:r>
                    <w:rPr>
                      <w:rFonts w:hint="default" w:ascii="Times New Roman" w:hAnsi="Times New Roman" w:eastAsia="宋体" w:cs="Times New Roman"/>
                      <w:color w:val="auto"/>
                      <w:sz w:val="21"/>
                      <w:szCs w:val="21"/>
                      <w:highlight w:val="none"/>
                      <w:lang w:val="de-DE"/>
                    </w:rPr>
                    <w:t>4</w:t>
                  </w:r>
                </w:p>
              </w:tc>
              <w:tc>
                <w:tcPr>
                  <w:tcW w:w="1012" w:type="dxa"/>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项目北侧</w:t>
                  </w:r>
                </w:p>
              </w:tc>
              <w:tc>
                <w:tcPr>
                  <w:tcW w:w="1013" w:type="dxa"/>
                  <w:tcBorders>
                    <w:left w:val="single" w:color="auto" w:sz="2" w:space="0"/>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57</w:t>
                  </w:r>
                </w:p>
              </w:tc>
              <w:tc>
                <w:tcPr>
                  <w:tcW w:w="1014" w:type="dxa"/>
                  <w:tcBorders>
                    <w:left w:val="single" w:color="auto" w:sz="2" w:space="0"/>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30.7</w:t>
                  </w:r>
                </w:p>
              </w:tc>
              <w:tc>
                <w:tcPr>
                  <w:tcW w:w="1014" w:type="dxa"/>
                  <w:tcBorders>
                    <w:left w:val="single" w:color="auto" w:sz="2" w:space="0"/>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57.01</w:t>
                  </w:r>
                </w:p>
              </w:tc>
              <w:tc>
                <w:tcPr>
                  <w:tcW w:w="1014" w:type="dxa"/>
                  <w:tcBorders>
                    <w:left w:val="single" w:color="auto" w:sz="2" w:space="0"/>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53</w:t>
                  </w:r>
                </w:p>
              </w:tc>
              <w:tc>
                <w:tcPr>
                  <w:tcW w:w="1014" w:type="dxa"/>
                  <w:tcBorders>
                    <w:left w:val="single" w:color="auto" w:sz="2" w:space="0"/>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30.7</w:t>
                  </w:r>
                </w:p>
              </w:tc>
              <w:tc>
                <w:tcPr>
                  <w:tcW w:w="1014" w:type="dxa"/>
                  <w:tcBorders>
                    <w:left w:val="single" w:color="auto" w:sz="2" w:space="0"/>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53.02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024" w:type="dxa"/>
                  <w:gridSpan w:val="2"/>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de-DE" w:eastAsia="zh-CN"/>
                    </w:rPr>
                    <w:t>标准值</w:t>
                  </w:r>
                </w:p>
              </w:tc>
              <w:tc>
                <w:tcPr>
                  <w:tcW w:w="1013" w:type="dxa"/>
                  <w:tcBorders>
                    <w:left w:val="single" w:color="auto" w:sz="2" w:space="0"/>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014" w:type="dxa"/>
                  <w:tcBorders>
                    <w:left w:val="single" w:color="auto" w:sz="2" w:space="0"/>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014" w:type="dxa"/>
                  <w:tcBorders>
                    <w:left w:val="single" w:color="auto" w:sz="2" w:space="0"/>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w:t>
                  </w:r>
                </w:p>
              </w:tc>
              <w:tc>
                <w:tcPr>
                  <w:tcW w:w="1014" w:type="dxa"/>
                  <w:tcBorders>
                    <w:left w:val="single" w:color="auto" w:sz="2" w:space="0"/>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014" w:type="dxa"/>
                  <w:tcBorders>
                    <w:left w:val="single" w:color="auto" w:sz="2" w:space="0"/>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014" w:type="dxa"/>
                  <w:tcBorders>
                    <w:left w:val="single" w:color="auto" w:sz="2" w:space="0"/>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w:t>
                  </w:r>
                </w:p>
              </w:tc>
            </w:tr>
          </w:tbl>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根据预测，</w:t>
            </w:r>
            <w:r>
              <w:rPr>
                <w:rFonts w:hint="default" w:ascii="Times New Roman" w:hAnsi="Times New Roman" w:eastAsia="宋体" w:cs="Times New Roman"/>
                <w:color w:val="auto"/>
                <w:highlight w:val="none"/>
                <w:lang w:eastAsia="zh-CN"/>
              </w:rPr>
              <w:t>改建项目</w:t>
            </w:r>
            <w:r>
              <w:rPr>
                <w:rFonts w:hint="default" w:ascii="Times New Roman" w:hAnsi="Times New Roman" w:eastAsia="宋体" w:cs="Times New Roman"/>
                <w:color w:val="auto"/>
                <w:highlight w:val="none"/>
              </w:rPr>
              <w:t>厂区边界四周昼间噪声</w:t>
            </w:r>
            <w:r>
              <w:rPr>
                <w:rFonts w:hint="default" w:ascii="Times New Roman" w:hAnsi="Times New Roman" w:eastAsia="宋体" w:cs="Times New Roman"/>
                <w:color w:val="auto"/>
                <w:highlight w:val="none"/>
                <w:lang w:val="en-US" w:eastAsia="zh-CN"/>
              </w:rPr>
              <w:t>预测</w:t>
            </w:r>
            <w:r>
              <w:rPr>
                <w:rFonts w:hint="default" w:ascii="Times New Roman" w:hAnsi="Times New Roman" w:eastAsia="宋体" w:cs="Times New Roman"/>
                <w:color w:val="auto"/>
                <w:highlight w:val="none"/>
              </w:rPr>
              <w:t>值为</w:t>
            </w:r>
            <w:r>
              <w:rPr>
                <w:rFonts w:hint="default" w:ascii="Times New Roman" w:hAnsi="Times New Roman" w:eastAsia="宋体" w:cs="Times New Roman"/>
                <w:color w:val="auto"/>
                <w:highlight w:val="none"/>
                <w:lang w:val="en-US" w:eastAsia="zh-CN"/>
              </w:rPr>
              <w:t>30.7</w:t>
            </w:r>
            <w:r>
              <w:rPr>
                <w:rFonts w:hint="default" w:ascii="Times New Roman" w:hAnsi="Times New Roman" w:eastAsia="宋体" w:cs="Times New Roman"/>
                <w:color w:val="auto"/>
                <w:highlight w:val="none"/>
              </w:rPr>
              <w:t>～3</w:t>
            </w:r>
            <w:r>
              <w:rPr>
                <w:rFonts w:hint="default" w:ascii="Times New Roman" w:hAnsi="Times New Roman" w:eastAsia="宋体" w:cs="Times New Roman"/>
                <w:color w:val="auto"/>
                <w:highlight w:val="none"/>
                <w:lang w:val="en-US" w:eastAsia="zh-CN"/>
              </w:rPr>
              <w:t>2.4</w:t>
            </w:r>
            <w:r>
              <w:rPr>
                <w:rFonts w:hint="default" w:ascii="Times New Roman" w:hAnsi="Times New Roman" w:eastAsia="宋体" w:cs="Times New Roman"/>
                <w:color w:val="auto"/>
                <w:highlight w:val="none"/>
              </w:rPr>
              <w:t>dB</w:t>
            </w:r>
            <w:r>
              <w:rPr>
                <w:rFonts w:hint="eastAsia" w:cs="Times New Roman"/>
                <w:color w:val="auto"/>
                <w:highlight w:val="none"/>
                <w:lang w:eastAsia="zh-CN"/>
              </w:rPr>
              <w:t>(A)</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夜</w:t>
            </w:r>
            <w:r>
              <w:rPr>
                <w:rFonts w:hint="default" w:ascii="Times New Roman" w:hAnsi="Times New Roman" w:eastAsia="宋体" w:cs="Times New Roman"/>
                <w:color w:val="auto"/>
                <w:highlight w:val="none"/>
              </w:rPr>
              <w:t>间噪声</w:t>
            </w:r>
            <w:r>
              <w:rPr>
                <w:rFonts w:hint="default" w:ascii="Times New Roman" w:hAnsi="Times New Roman" w:eastAsia="宋体" w:cs="Times New Roman"/>
                <w:color w:val="auto"/>
                <w:highlight w:val="none"/>
                <w:lang w:val="en-US" w:eastAsia="zh-CN"/>
              </w:rPr>
              <w:t>预测</w:t>
            </w:r>
            <w:r>
              <w:rPr>
                <w:rFonts w:hint="default" w:ascii="Times New Roman" w:hAnsi="Times New Roman" w:eastAsia="宋体" w:cs="Times New Roman"/>
                <w:color w:val="auto"/>
                <w:highlight w:val="none"/>
              </w:rPr>
              <w:t>值为</w:t>
            </w:r>
            <w:r>
              <w:rPr>
                <w:rFonts w:hint="default" w:ascii="Times New Roman" w:hAnsi="Times New Roman" w:eastAsia="宋体" w:cs="Times New Roman"/>
                <w:color w:val="auto"/>
                <w:highlight w:val="none"/>
                <w:lang w:val="en-US" w:eastAsia="zh-CN"/>
              </w:rPr>
              <w:t>30.7</w:t>
            </w:r>
            <w:r>
              <w:rPr>
                <w:rFonts w:hint="default" w:ascii="Times New Roman" w:hAnsi="Times New Roman" w:eastAsia="宋体" w:cs="Times New Roman"/>
                <w:color w:val="auto"/>
                <w:highlight w:val="none"/>
              </w:rPr>
              <w:t>～3</w:t>
            </w:r>
            <w:r>
              <w:rPr>
                <w:rFonts w:hint="default" w:ascii="Times New Roman" w:hAnsi="Times New Roman" w:eastAsia="宋体" w:cs="Times New Roman"/>
                <w:color w:val="auto"/>
                <w:highlight w:val="none"/>
                <w:lang w:val="en-US" w:eastAsia="zh-CN"/>
              </w:rPr>
              <w:t>2.4</w:t>
            </w:r>
            <w:r>
              <w:rPr>
                <w:rFonts w:hint="default" w:ascii="Times New Roman" w:hAnsi="Times New Roman" w:eastAsia="宋体" w:cs="Times New Roman"/>
                <w:color w:val="auto"/>
                <w:highlight w:val="none"/>
              </w:rPr>
              <w:t>dB</w:t>
            </w:r>
            <w:r>
              <w:rPr>
                <w:rFonts w:hint="eastAsia" w:cs="Times New Roman"/>
                <w:color w:val="auto"/>
                <w:highlight w:val="none"/>
                <w:lang w:eastAsia="zh-CN"/>
              </w:rPr>
              <w:t>(A)</w:t>
            </w:r>
            <w:r>
              <w:rPr>
                <w:rFonts w:hint="default" w:ascii="Times New Roman" w:hAnsi="Times New Roman" w:eastAsia="宋体" w:cs="Times New Roman"/>
                <w:color w:val="auto"/>
                <w:highlight w:val="none"/>
              </w:rPr>
              <w:t>，均满足《工业企业厂界噪声排放标准》</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GB12348-2008</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2类标准要求</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昼间60dB</w:t>
            </w:r>
            <w:r>
              <w:rPr>
                <w:rFonts w:hint="eastAsia" w:cs="Times New Roman"/>
                <w:color w:val="auto"/>
                <w:highlight w:val="none"/>
                <w:lang w:eastAsia="zh-CN"/>
              </w:rPr>
              <w:t>(A)</w:t>
            </w:r>
            <w:r>
              <w:rPr>
                <w:rFonts w:hint="default" w:ascii="Times New Roman" w:hAnsi="Times New Roman" w:eastAsia="宋体" w:cs="Times New Roman"/>
                <w:color w:val="auto"/>
                <w:highlight w:val="none"/>
              </w:rPr>
              <w:t>，夜间50dB</w:t>
            </w:r>
            <w:r>
              <w:rPr>
                <w:rFonts w:hint="eastAsia" w:cs="Times New Roman"/>
                <w:color w:val="auto"/>
                <w:highlight w:val="none"/>
                <w:lang w:eastAsia="zh-CN"/>
              </w:rPr>
              <w:t>(A)</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的排放限值。</w:t>
            </w:r>
          </w:p>
          <w:p>
            <w:pPr>
              <w:bidi w:val="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3.3噪声监测计划</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根据《排污单位自行监测技术指南 总则》（HJ819-2017）、《排污单位自行监测技术指南 火力发电及锅炉》（HJ820-2017），噪声环境监测计划详见表4-9。</w:t>
            </w:r>
          </w:p>
          <w:p>
            <w:pPr>
              <w:bidi w:val="0"/>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表4-9  噪声环境监测计划</w:t>
            </w:r>
          </w:p>
          <w:tbl>
            <w:tblPr>
              <w:tblStyle w:val="19"/>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0"/>
              <w:gridCol w:w="1137"/>
              <w:gridCol w:w="1464"/>
              <w:gridCol w:w="1563"/>
              <w:gridCol w:w="29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污染物名称</w:t>
                  </w:r>
                </w:p>
              </w:tc>
              <w:tc>
                <w:tcPr>
                  <w:tcW w:w="109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监测点</w:t>
                  </w:r>
                </w:p>
              </w:tc>
              <w:tc>
                <w:tcPr>
                  <w:tcW w:w="141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监测项目</w:t>
                  </w:r>
                </w:p>
              </w:tc>
              <w:tc>
                <w:tcPr>
                  <w:tcW w:w="150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监测频次</w:t>
                  </w:r>
                </w:p>
              </w:tc>
              <w:tc>
                <w:tcPr>
                  <w:tcW w:w="288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噪声</w:t>
                  </w:r>
                </w:p>
              </w:tc>
              <w:tc>
                <w:tcPr>
                  <w:tcW w:w="109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厂界四周</w:t>
                  </w:r>
                </w:p>
              </w:tc>
              <w:tc>
                <w:tcPr>
                  <w:tcW w:w="141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等效A声级</w:t>
                  </w:r>
                </w:p>
              </w:tc>
              <w:tc>
                <w:tcPr>
                  <w:tcW w:w="150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1次/季度</w:t>
                  </w:r>
                </w:p>
              </w:tc>
              <w:tc>
                <w:tcPr>
                  <w:tcW w:w="288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《工业企业厂界环境噪声排放标准》（GB12348-2008）2类标准限值</w:t>
                  </w:r>
                </w:p>
              </w:tc>
            </w:tr>
          </w:tbl>
          <w:p>
            <w:pPr>
              <w:bidi w:val="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lang w:val="en-US" w:eastAsia="zh-CN"/>
              </w:rPr>
              <w:t>4、固体废物产生及处置</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改建项目</w:t>
            </w:r>
            <w:r>
              <w:rPr>
                <w:rFonts w:hint="default" w:ascii="Times New Roman" w:hAnsi="Times New Roman" w:eastAsia="宋体" w:cs="Times New Roman"/>
                <w:color w:val="auto"/>
                <w:highlight w:val="none"/>
                <w:lang w:val="en-US" w:eastAsia="zh-CN"/>
              </w:rPr>
              <w:t>运营期</w:t>
            </w:r>
            <w:r>
              <w:rPr>
                <w:rFonts w:hint="default" w:ascii="Times New Roman" w:hAnsi="Times New Roman" w:eastAsia="宋体" w:cs="Times New Roman"/>
                <w:color w:val="auto"/>
                <w:highlight w:val="none"/>
                <w:lang w:eastAsia="zh-CN"/>
              </w:rPr>
              <w:t>产生的固体废物为</w:t>
            </w:r>
            <w:r>
              <w:rPr>
                <w:rFonts w:hint="default" w:ascii="Times New Roman" w:hAnsi="Times New Roman" w:eastAsia="宋体" w:cs="Times New Roman"/>
                <w:color w:val="auto"/>
                <w:highlight w:val="none"/>
                <w:lang w:val="en-US" w:eastAsia="zh-CN"/>
              </w:rPr>
              <w:t>锅炉产生的炉渣、旋风除尘器+布袋除尘器收集的除尘灰、双碱法脱硫塔产生的脱硫石膏、软水制备装置产生的废饱和树脂。</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（1）锅炉炉渣</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改建项目</w:t>
            </w:r>
            <w:r>
              <w:rPr>
                <w:rFonts w:hint="default" w:ascii="Times New Roman" w:hAnsi="Times New Roman" w:eastAsia="宋体" w:cs="Times New Roman"/>
                <w:color w:val="auto"/>
                <w:highlight w:val="none"/>
              </w:rPr>
              <w:t>1台</w:t>
            </w:r>
            <w:r>
              <w:rPr>
                <w:rFonts w:hint="default" w:ascii="Times New Roman" w:hAnsi="Times New Roman" w:eastAsia="宋体" w:cs="Times New Roman"/>
                <w:color w:val="auto"/>
                <w:highlight w:val="none"/>
                <w:lang w:val="en-US" w:eastAsia="zh-CN"/>
              </w:rPr>
              <w:t>10t/h</w:t>
            </w:r>
            <w:r>
              <w:rPr>
                <w:rFonts w:hint="default" w:ascii="Times New Roman" w:hAnsi="Times New Roman" w:eastAsia="宋体" w:cs="Times New Roman"/>
                <w:color w:val="auto"/>
                <w:highlight w:val="none"/>
                <w:lang w:eastAsia="zh-CN"/>
              </w:rPr>
              <w:t>生物质热水锅炉</w:t>
            </w:r>
            <w:r>
              <w:rPr>
                <w:rFonts w:hint="default" w:ascii="Times New Roman" w:hAnsi="Times New Roman" w:eastAsia="宋体" w:cs="Times New Roman"/>
                <w:color w:val="auto"/>
                <w:highlight w:val="none"/>
                <w:lang w:val="en-US" w:eastAsia="zh-CN"/>
              </w:rPr>
              <w:t>炉渣</w:t>
            </w:r>
            <w:r>
              <w:rPr>
                <w:rFonts w:hint="default" w:ascii="Times New Roman" w:hAnsi="Times New Roman" w:eastAsia="宋体" w:cs="Times New Roman"/>
                <w:color w:val="auto"/>
                <w:highlight w:val="none"/>
              </w:rPr>
              <w:t>产生量根据《</w:t>
            </w:r>
            <w:r>
              <w:rPr>
                <w:rFonts w:hint="eastAsia" w:cs="Times New Roman"/>
                <w:color w:val="auto"/>
                <w:highlight w:val="none"/>
                <w:lang w:eastAsia="zh-CN"/>
              </w:rPr>
              <w:t>污染源源强核算技术指南  锅炉</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HJ991-2018）产污系数法进行计算，公式如下：</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drawing>
                <wp:inline distT="0" distB="0" distL="114300" distR="114300">
                  <wp:extent cx="5147945" cy="1913255"/>
                  <wp:effectExtent l="0" t="0" r="14605" b="10795"/>
                  <wp:docPr id="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1"/>
                          <pic:cNvPicPr>
                            <a:picLocks noChangeAspect="1"/>
                          </pic:cNvPicPr>
                        </pic:nvPicPr>
                        <pic:blipFill>
                          <a:blip r:embed="rId31"/>
                          <a:stretch>
                            <a:fillRect/>
                          </a:stretch>
                        </pic:blipFill>
                        <pic:spPr>
                          <a:xfrm>
                            <a:off x="0" y="0"/>
                            <a:ext cx="5147945" cy="1913255"/>
                          </a:xfrm>
                          <a:prstGeom prst="rect">
                            <a:avLst/>
                          </a:prstGeom>
                          <a:noFill/>
                          <a:ln>
                            <a:noFill/>
                          </a:ln>
                        </pic:spPr>
                      </pic:pic>
                    </a:graphicData>
                  </a:graphic>
                </wp:inline>
              </w:drawing>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改建项目生物质燃料消耗总量为</w:t>
            </w:r>
            <w:r>
              <w:rPr>
                <w:rFonts w:hint="default" w:ascii="Times New Roman" w:hAnsi="Times New Roman" w:eastAsia="宋体" w:cs="Times New Roman"/>
                <w:color w:val="auto"/>
                <w:sz w:val="24"/>
                <w:szCs w:val="24"/>
                <w:highlight w:val="none"/>
                <w:lang w:val="en-US" w:eastAsia="zh-CN"/>
              </w:rPr>
              <w:t>216</w:t>
            </w:r>
            <w:r>
              <w:rPr>
                <w:rFonts w:hint="default" w:ascii="Times New Roman" w:hAnsi="Times New Roman" w:eastAsia="宋体" w:cs="Times New Roman"/>
                <w:color w:val="auto"/>
                <w:sz w:val="24"/>
                <w:szCs w:val="24"/>
                <w:highlight w:val="none"/>
                <w:lang w:eastAsia="zh-CN"/>
              </w:rPr>
              <w:t>0t/a；</w:t>
            </w:r>
            <w:r>
              <w:rPr>
                <w:rFonts w:hint="default" w:ascii="Times New Roman" w:hAnsi="Times New Roman" w:eastAsia="宋体" w:cs="Times New Roman"/>
                <w:color w:val="auto"/>
                <w:sz w:val="24"/>
                <w:szCs w:val="24"/>
                <w:highlight w:val="none"/>
              </w:rPr>
              <w:t>生物质成型燃料收到基灰分为</w:t>
            </w:r>
            <w:r>
              <w:rPr>
                <w:rFonts w:hint="default" w:ascii="Times New Roman" w:hAnsi="Times New Roman" w:eastAsia="宋体" w:cs="Times New Roman"/>
                <w:color w:val="auto"/>
                <w:sz w:val="24"/>
                <w:szCs w:val="24"/>
                <w:highlight w:val="none"/>
                <w:lang w:eastAsia="zh-CN"/>
              </w:rPr>
              <w:t>5.17</w:t>
            </w:r>
            <w:r>
              <w:rPr>
                <w:rFonts w:hint="default" w:ascii="Times New Roman" w:hAnsi="Times New Roman" w:eastAsia="宋体" w:cs="Times New Roman"/>
                <w:color w:val="auto"/>
                <w:sz w:val="24"/>
                <w:szCs w:val="24"/>
                <w:highlight w:val="none"/>
              </w:rPr>
              <w:t>%；根据</w:t>
            </w:r>
            <w:r>
              <w:rPr>
                <w:rFonts w:hint="default" w:ascii="Times New Roman" w:hAnsi="Times New Roman" w:eastAsia="宋体" w:cs="Times New Roman"/>
                <w:color w:val="auto"/>
                <w:kern w:val="0"/>
                <w:sz w:val="24"/>
                <w:szCs w:val="24"/>
                <w:highlight w:val="none"/>
              </w:rPr>
              <w:t>《</w:t>
            </w:r>
            <w:r>
              <w:rPr>
                <w:rFonts w:hint="eastAsia" w:cs="Times New Roman"/>
                <w:color w:val="auto"/>
                <w:kern w:val="0"/>
                <w:sz w:val="24"/>
                <w:szCs w:val="24"/>
                <w:highlight w:val="none"/>
                <w:lang w:eastAsia="zh-CN"/>
              </w:rPr>
              <w:t>污染源源强核算技术指南</w:t>
            </w:r>
            <w:r>
              <w:rPr>
                <w:rFonts w:hint="eastAsia" w:cs="Times New Roman"/>
                <w:color w:val="auto"/>
                <w:kern w:val="0"/>
                <w:sz w:val="24"/>
                <w:szCs w:val="24"/>
                <w:highlight w:val="none"/>
                <w:lang w:val="en-US" w:eastAsia="zh-CN"/>
              </w:rPr>
              <w:t xml:space="preserve"> </w:t>
            </w:r>
            <w:r>
              <w:rPr>
                <w:rFonts w:hint="eastAsia" w:cs="Times New Roman"/>
                <w:color w:val="auto"/>
                <w:kern w:val="0"/>
                <w:sz w:val="24"/>
                <w:szCs w:val="24"/>
                <w:highlight w:val="none"/>
                <w:lang w:eastAsia="zh-CN"/>
              </w:rPr>
              <w:t>锅炉</w:t>
            </w:r>
            <w:r>
              <w:rPr>
                <w:rFonts w:hint="default" w:ascii="Times New Roman" w:hAnsi="Times New Roman" w:eastAsia="宋体" w:cs="Times New Roman"/>
                <w:color w:val="auto"/>
                <w:kern w:val="0"/>
                <w:sz w:val="24"/>
                <w:szCs w:val="24"/>
                <w:highlight w:val="none"/>
              </w:rPr>
              <w:t>》（HJ991-2018）表B.1锅炉机械不完全燃烧热损失的一般取值</w:t>
            </w:r>
            <w:r>
              <w:rPr>
                <w:rFonts w:hint="default" w:ascii="Times New Roman" w:hAnsi="Times New Roman" w:eastAsia="宋体" w:cs="Times New Roman"/>
                <w:color w:val="auto"/>
                <w:kern w:val="0"/>
                <w:sz w:val="24"/>
                <w:szCs w:val="24"/>
                <w:highlight w:val="none"/>
                <w:lang w:eastAsia="zh-CN"/>
              </w:rPr>
              <w:t>5%</w:t>
            </w:r>
            <w:r>
              <w:rPr>
                <w:rFonts w:hint="eastAsia"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lang w:eastAsia="zh-CN"/>
              </w:rPr>
              <w:t>15%</w:t>
            </w:r>
            <w:r>
              <w:rPr>
                <w:rFonts w:hint="default" w:ascii="Times New Roman" w:hAnsi="Times New Roman" w:eastAsia="宋体" w:cs="Times New Roman"/>
                <w:color w:val="auto"/>
                <w:kern w:val="0"/>
                <w:sz w:val="24"/>
                <w:szCs w:val="24"/>
                <w:highlight w:val="none"/>
              </w:rPr>
              <w:t>，本次评价取</w:t>
            </w:r>
            <w:r>
              <w:rPr>
                <w:rFonts w:hint="default" w:ascii="Times New Roman" w:hAnsi="Times New Roman" w:eastAsia="宋体" w:cs="Times New Roman"/>
                <w:color w:val="auto"/>
                <w:kern w:val="0"/>
                <w:sz w:val="24"/>
                <w:szCs w:val="24"/>
                <w:highlight w:val="none"/>
                <w:lang w:val="en-US" w:eastAsia="zh-CN"/>
              </w:rPr>
              <w:t>5</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sz w:val="24"/>
                <w:szCs w:val="24"/>
                <w:highlight w:val="none"/>
              </w:rPr>
              <w:t>；生物质成型燃料收到基低位发热量为14.60MJ/kg。</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则E</w:t>
            </w:r>
            <w:r>
              <w:rPr>
                <w:rFonts w:hint="default" w:ascii="Times New Roman" w:hAnsi="Times New Roman" w:eastAsia="宋体" w:cs="Times New Roman"/>
                <w:color w:val="auto"/>
                <w:sz w:val="24"/>
                <w:szCs w:val="24"/>
                <w:highlight w:val="none"/>
                <w:vertAlign w:val="subscript"/>
              </w:rPr>
              <w:t>hz</w:t>
            </w:r>
            <w:r>
              <w:rPr>
                <w:rFonts w:hint="default" w:ascii="Times New Roman" w:hAnsi="Times New Roman" w:eastAsia="宋体" w:cs="Times New Roman"/>
                <w:color w:val="auto"/>
                <w:sz w:val="24"/>
                <w:szCs w:val="24"/>
                <w:highlight w:val="none"/>
              </w:rPr>
              <w:t>=2160×[</w:t>
            </w:r>
            <w:r>
              <w:rPr>
                <w:rFonts w:hint="default" w:ascii="Times New Roman" w:hAnsi="Times New Roman" w:eastAsia="宋体" w:cs="Times New Roman"/>
                <w:color w:val="auto"/>
                <w:sz w:val="24"/>
                <w:szCs w:val="24"/>
                <w:highlight w:val="none"/>
                <w:lang w:eastAsia="zh-CN"/>
              </w:rPr>
              <w:t>5.17</w:t>
            </w:r>
            <w:r>
              <w:rPr>
                <w:rFonts w:hint="default" w:ascii="Times New Roman" w:hAnsi="Times New Roman" w:eastAsia="宋体" w:cs="Times New Roman"/>
                <w:color w:val="auto"/>
                <w:sz w:val="24"/>
                <w:szCs w:val="24"/>
                <w:highlight w:val="none"/>
              </w:rPr>
              <w:t>/100+（</w:t>
            </w:r>
            <w:r>
              <w:rPr>
                <w:rFonts w:hint="default"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rPr>
              <w:t>×14.60×10</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）/（100×33870）]</w:t>
            </w:r>
          </w:p>
          <w:p>
            <w:pPr>
              <w:keepNext w:val="0"/>
              <w:keepLines w:val="0"/>
              <w:suppressLineNumbers w:val="0"/>
              <w:spacing w:before="0" w:beforeAutospacing="0" w:after="0" w:afterAutospacing="0" w:line="360" w:lineRule="auto"/>
              <w:ind w:left="0" w:right="0" w:firstLine="960" w:firstLineChars="4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204.781</w:t>
            </w:r>
            <w:r>
              <w:rPr>
                <w:rFonts w:hint="default" w:ascii="Times New Roman" w:hAnsi="Times New Roman" w:eastAsia="宋体" w:cs="Times New Roman"/>
                <w:color w:val="auto"/>
                <w:sz w:val="24"/>
                <w:szCs w:val="24"/>
                <w:highlight w:val="none"/>
              </w:rPr>
              <w:t>t/a</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生物质热水锅炉炉渣属于第Ⅰ类一般工业固废，暂存于全封闭灰渣库内，定期作为肥料施用于周边农田。</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除尘灰</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改建项目1台生物质热水锅炉</w:t>
            </w:r>
            <w:r>
              <w:rPr>
                <w:rFonts w:hint="default" w:ascii="Times New Roman" w:hAnsi="Times New Roman" w:eastAsia="宋体" w:cs="Times New Roman"/>
                <w:color w:val="auto"/>
                <w:highlight w:val="none"/>
              </w:rPr>
              <w:t>废气采用</w:t>
            </w:r>
            <w:r>
              <w:rPr>
                <w:rFonts w:hint="default" w:ascii="Times New Roman" w:hAnsi="Times New Roman" w:eastAsia="宋体" w:cs="Times New Roman"/>
                <w:color w:val="auto"/>
                <w:highlight w:val="none"/>
                <w:lang w:eastAsia="zh-CN"/>
              </w:rPr>
              <w:t>旋风除尘器</w:t>
            </w:r>
            <w:r>
              <w:rPr>
                <w:rFonts w:hint="default" w:ascii="Times New Roman" w:hAnsi="Times New Roman" w:eastAsia="宋体" w:cs="Times New Roman"/>
                <w:color w:val="auto"/>
                <w:highlight w:val="none"/>
              </w:rPr>
              <w:t>+布袋除尘器+</w:t>
            </w:r>
            <w:r>
              <w:rPr>
                <w:rFonts w:hint="default" w:ascii="Times New Roman" w:hAnsi="Times New Roman" w:eastAsia="宋体" w:cs="Times New Roman"/>
                <w:color w:val="auto"/>
                <w:highlight w:val="none"/>
                <w:lang w:eastAsia="zh-CN"/>
              </w:rPr>
              <w:t>双碱法脱硫塔</w:t>
            </w:r>
            <w:r>
              <w:rPr>
                <w:rFonts w:hint="default" w:ascii="Times New Roman" w:hAnsi="Times New Roman" w:eastAsia="宋体" w:cs="Times New Roman"/>
                <w:color w:val="auto"/>
                <w:highlight w:val="none"/>
              </w:rPr>
              <w:t>进行处理</w:t>
            </w:r>
            <w:r>
              <w:rPr>
                <w:rFonts w:hint="default" w:ascii="Times New Roman" w:hAnsi="Times New Roman" w:eastAsia="宋体" w:cs="Times New Roman"/>
                <w:color w:val="auto"/>
                <w:highlight w:val="none"/>
                <w:lang w:val="en-US" w:eastAsia="zh-CN"/>
              </w:rPr>
              <w:t>，收集的颗粒物量为0.921t/a，属于第Ⅰ类一般工业固废，袋装后堆存于灰渣库内，定期外运周边农田施肥。</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灰渣库按照《一般工业固体废物贮存和填埋污染控制标准》（GB18599-2020）中Ⅰ类场技术要求建设。</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脱硫石膏</w:t>
            </w:r>
          </w:p>
          <w:p>
            <w:pPr>
              <w:keepNext w:val="0"/>
              <w:keepLines w:val="0"/>
              <w:pageBreakBefore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改建项目</w:t>
            </w:r>
            <w:r>
              <w:rPr>
                <w:rFonts w:hint="default" w:ascii="Times New Roman" w:hAnsi="Times New Roman" w:eastAsia="宋体" w:cs="Times New Roman"/>
                <w:color w:val="auto"/>
                <w:sz w:val="24"/>
                <w:szCs w:val="32"/>
                <w:highlight w:val="none"/>
              </w:rPr>
              <w:t>燃煤热风炉</w:t>
            </w:r>
            <w:r>
              <w:rPr>
                <w:rFonts w:hint="default" w:ascii="Times New Roman" w:hAnsi="Times New Roman" w:eastAsia="宋体" w:cs="Times New Roman"/>
                <w:color w:val="auto"/>
                <w:sz w:val="24"/>
                <w:szCs w:val="32"/>
                <w:highlight w:val="none"/>
                <w:lang w:eastAsia="zh-CN"/>
              </w:rPr>
              <w:t>废气</w:t>
            </w:r>
            <w:r>
              <w:rPr>
                <w:rFonts w:hint="default" w:ascii="Times New Roman" w:hAnsi="Times New Roman" w:eastAsia="宋体" w:cs="Times New Roman"/>
                <w:snapToGrid w:val="0"/>
                <w:color w:val="auto"/>
                <w:spacing w:val="-6"/>
                <w:kern w:val="0"/>
                <w:sz w:val="24"/>
                <w:szCs w:val="24"/>
                <w:highlight w:val="none"/>
              </w:rPr>
              <w:t>采用双碱法脱硫，去除SO</w:t>
            </w:r>
            <w:r>
              <w:rPr>
                <w:rFonts w:hint="default" w:ascii="Times New Roman" w:hAnsi="Times New Roman" w:eastAsia="宋体" w:cs="Times New Roman"/>
                <w:snapToGrid w:val="0"/>
                <w:color w:val="auto"/>
                <w:spacing w:val="-6"/>
                <w:kern w:val="0"/>
                <w:sz w:val="24"/>
                <w:szCs w:val="24"/>
                <w:highlight w:val="none"/>
                <w:vertAlign w:val="subscript"/>
              </w:rPr>
              <w:t>2</w:t>
            </w:r>
            <w:r>
              <w:rPr>
                <w:rFonts w:hint="default" w:ascii="Times New Roman" w:hAnsi="Times New Roman" w:eastAsia="宋体" w:cs="Times New Roman"/>
                <w:snapToGrid w:val="0"/>
                <w:color w:val="auto"/>
                <w:spacing w:val="-6"/>
                <w:kern w:val="0"/>
                <w:sz w:val="24"/>
                <w:szCs w:val="24"/>
                <w:highlight w:val="none"/>
              </w:rPr>
              <w:t>量为</w:t>
            </w:r>
            <w:r>
              <w:rPr>
                <w:rFonts w:hint="default" w:ascii="Times New Roman" w:hAnsi="Times New Roman" w:eastAsia="宋体" w:cs="Times New Roman"/>
                <w:snapToGrid w:val="0"/>
                <w:color w:val="auto"/>
                <w:spacing w:val="-6"/>
                <w:kern w:val="0"/>
                <w:sz w:val="24"/>
                <w:szCs w:val="24"/>
                <w:highlight w:val="none"/>
                <w:lang w:val="en-US" w:eastAsia="zh-CN"/>
              </w:rPr>
              <w:t>1.542</w:t>
            </w:r>
            <w:r>
              <w:rPr>
                <w:rFonts w:hint="default" w:ascii="Times New Roman" w:hAnsi="Times New Roman" w:eastAsia="宋体" w:cs="Times New Roman"/>
                <w:snapToGrid w:val="0"/>
                <w:color w:val="auto"/>
                <w:spacing w:val="-6"/>
                <w:kern w:val="0"/>
                <w:sz w:val="24"/>
                <w:szCs w:val="24"/>
                <w:highlight w:val="none"/>
              </w:rPr>
              <w:t>t/a，则脱硫石膏产生量为</w:t>
            </w:r>
            <w:r>
              <w:rPr>
                <w:rFonts w:hint="default" w:ascii="Times New Roman" w:hAnsi="Times New Roman" w:eastAsia="宋体" w:cs="Times New Roman"/>
                <w:snapToGrid w:val="0"/>
                <w:color w:val="auto"/>
                <w:spacing w:val="-6"/>
                <w:kern w:val="0"/>
                <w:sz w:val="24"/>
                <w:szCs w:val="24"/>
                <w:highlight w:val="none"/>
                <w:lang w:val="en-US" w:eastAsia="zh-CN"/>
              </w:rPr>
              <w:t>3.277</w:t>
            </w:r>
            <w:r>
              <w:rPr>
                <w:rFonts w:hint="default" w:ascii="Times New Roman" w:hAnsi="Times New Roman" w:eastAsia="宋体" w:cs="Times New Roman"/>
                <w:snapToGrid w:val="0"/>
                <w:color w:val="auto"/>
                <w:spacing w:val="-6"/>
                <w:kern w:val="0"/>
                <w:sz w:val="24"/>
                <w:szCs w:val="24"/>
                <w:highlight w:val="none"/>
              </w:rPr>
              <w:t>t/a，</w:t>
            </w:r>
            <w:r>
              <w:rPr>
                <w:rFonts w:hint="default" w:ascii="Times New Roman" w:hAnsi="Times New Roman" w:eastAsia="宋体" w:cs="Times New Roman"/>
                <w:color w:val="auto"/>
                <w:highlight w:val="none"/>
                <w:lang w:val="en-US" w:eastAsia="zh-CN"/>
              </w:rPr>
              <w:t>属于第Ⅰ类一般工业固废，</w:t>
            </w:r>
            <w:r>
              <w:rPr>
                <w:rFonts w:hint="default" w:ascii="Times New Roman" w:hAnsi="Times New Roman" w:eastAsia="宋体" w:cs="Times New Roman"/>
                <w:color w:val="auto"/>
                <w:sz w:val="24"/>
                <w:szCs w:val="24"/>
                <w:highlight w:val="none"/>
              </w:rPr>
              <w:t>堆存于封闭</w:t>
            </w:r>
            <w:r>
              <w:rPr>
                <w:rFonts w:hint="default" w:ascii="Times New Roman" w:hAnsi="Times New Roman" w:eastAsia="宋体" w:cs="Times New Roman"/>
                <w:color w:val="auto"/>
                <w:sz w:val="24"/>
                <w:szCs w:val="24"/>
                <w:highlight w:val="none"/>
                <w:lang w:eastAsia="zh-CN"/>
              </w:rPr>
              <w:t>灰渣库</w:t>
            </w:r>
            <w:r>
              <w:rPr>
                <w:rFonts w:hint="default" w:ascii="Times New Roman" w:hAnsi="Times New Roman" w:eastAsia="宋体" w:cs="Times New Roman"/>
                <w:color w:val="auto"/>
                <w:sz w:val="24"/>
                <w:szCs w:val="24"/>
                <w:highlight w:val="none"/>
              </w:rPr>
              <w:t>内，最终</w:t>
            </w:r>
            <w:r>
              <w:rPr>
                <w:rFonts w:hint="default" w:ascii="Times New Roman" w:hAnsi="Times New Roman" w:eastAsia="宋体" w:cs="Times New Roman"/>
                <w:color w:val="auto"/>
                <w:sz w:val="24"/>
                <w:szCs w:val="24"/>
                <w:highlight w:val="none"/>
                <w:lang w:eastAsia="zh-CN"/>
              </w:rPr>
              <w:t>外售</w:t>
            </w:r>
            <w:r>
              <w:rPr>
                <w:rFonts w:hint="default" w:ascii="Times New Roman" w:hAnsi="Times New Roman" w:eastAsia="宋体" w:cs="Times New Roman"/>
                <w:color w:val="auto"/>
                <w:sz w:val="24"/>
                <w:szCs w:val="24"/>
                <w:highlight w:val="none"/>
                <w:lang w:bidi="ar"/>
              </w:rPr>
              <w:t>建材公司综合利用</w:t>
            </w:r>
            <w:r>
              <w:rPr>
                <w:rFonts w:hint="default" w:ascii="Times New Roman" w:hAnsi="Times New Roman" w:eastAsia="宋体" w:cs="Times New Roman"/>
                <w:color w:val="auto"/>
                <w:sz w:val="24"/>
                <w:szCs w:val="24"/>
                <w:highlight w:val="none"/>
                <w:lang w:eastAsia="zh-CN" w:bidi="ar"/>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（4）废饱和树脂</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软水制备装置产生的废饱和树脂由销售厂家定期更换，产生量为0.3t/a，属于一般工业固体废物，由销售厂家直接回收，不在厂区内储存。</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固废产生量及处理措施见表</w:t>
            </w:r>
            <w:r>
              <w:rPr>
                <w:rFonts w:hint="default" w:ascii="Times New Roman" w:hAnsi="Times New Roman" w:eastAsia="宋体" w:cs="Times New Roman"/>
                <w:color w:val="auto"/>
                <w:highlight w:val="none"/>
                <w:lang w:val="en-US" w:eastAsia="zh-CN"/>
              </w:rPr>
              <w:t>4-9。</w:t>
            </w:r>
          </w:p>
          <w:p>
            <w:pPr>
              <w:kinsoku/>
              <w:wordWrap/>
              <w:bidi w:val="0"/>
              <w:spacing w:line="360" w:lineRule="auto"/>
              <w:ind w:left="0" w:leftChars="0" w:right="0" w:rightChars="0" w:firstLine="0" w:firstLine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表</w:t>
            </w:r>
            <w:r>
              <w:rPr>
                <w:rFonts w:hint="default" w:ascii="Times New Roman" w:hAnsi="Times New Roman" w:eastAsia="宋体" w:cs="Times New Roman"/>
                <w:b/>
                <w:bCs/>
                <w:color w:val="auto"/>
                <w:highlight w:val="none"/>
                <w:lang w:val="en-US" w:eastAsia="zh-CN"/>
              </w:rPr>
              <w:t>4-9  改建项目</w:t>
            </w:r>
            <w:r>
              <w:rPr>
                <w:rFonts w:hint="default" w:ascii="Times New Roman" w:hAnsi="Times New Roman" w:eastAsia="宋体" w:cs="Times New Roman"/>
                <w:b/>
                <w:bCs/>
                <w:color w:val="auto"/>
                <w:highlight w:val="none"/>
                <w:lang w:eastAsia="zh-CN"/>
              </w:rPr>
              <w:t>固废</w:t>
            </w:r>
            <w:r>
              <w:rPr>
                <w:rFonts w:hint="default" w:ascii="Times New Roman" w:hAnsi="Times New Roman" w:eastAsia="宋体" w:cs="Times New Roman"/>
                <w:b/>
                <w:bCs/>
                <w:color w:val="auto"/>
                <w:highlight w:val="none"/>
                <w:lang w:val="en-US" w:eastAsia="zh-CN"/>
              </w:rPr>
              <w:t>产生及处置情况一览</w:t>
            </w:r>
            <w:r>
              <w:rPr>
                <w:rFonts w:hint="default" w:ascii="Times New Roman" w:hAnsi="Times New Roman" w:eastAsia="宋体" w:cs="Times New Roman"/>
                <w:b/>
                <w:bCs/>
                <w:color w:val="auto"/>
                <w:highlight w:val="none"/>
              </w:rPr>
              <w:t>表</w:t>
            </w:r>
          </w:p>
          <w:tbl>
            <w:tblPr>
              <w:tblStyle w:val="20"/>
              <w:tblW w:w="81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7"/>
              <w:gridCol w:w="890"/>
              <w:gridCol w:w="1424"/>
              <w:gridCol w:w="1005"/>
              <w:gridCol w:w="1184"/>
              <w:gridCol w:w="949"/>
              <w:gridCol w:w="14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sz w:val="21"/>
                      <w:szCs w:val="21"/>
                      <w:highlight w:val="none"/>
                      <w:vertAlign w:val="baseline"/>
                      <w:lang w:val="en-US" w:eastAsia="zh-CN"/>
                    </w:rPr>
                    <w:t>名称</w:t>
                  </w:r>
                </w:p>
              </w:tc>
              <w:tc>
                <w:tcPr>
                  <w:tcW w:w="89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sz w:val="21"/>
                      <w:szCs w:val="21"/>
                      <w:highlight w:val="none"/>
                      <w:vertAlign w:val="baseline"/>
                      <w:lang w:val="en-US" w:eastAsia="zh-CN"/>
                    </w:rPr>
                    <w:t>性质</w:t>
                  </w:r>
                </w:p>
              </w:tc>
              <w:tc>
                <w:tcPr>
                  <w:tcW w:w="142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sz w:val="21"/>
                      <w:szCs w:val="21"/>
                      <w:highlight w:val="none"/>
                      <w:vertAlign w:val="baseline"/>
                      <w:lang w:val="en-US" w:eastAsia="zh-CN"/>
                    </w:rPr>
                    <w:t>产生环节</w:t>
                  </w:r>
                </w:p>
              </w:tc>
              <w:tc>
                <w:tcPr>
                  <w:tcW w:w="100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sz w:val="21"/>
                      <w:szCs w:val="21"/>
                      <w:highlight w:val="none"/>
                      <w:vertAlign w:val="baseline"/>
                      <w:lang w:val="en-US" w:eastAsia="zh-CN"/>
                    </w:rPr>
                    <w:t>产生量</w:t>
                  </w:r>
                </w:p>
              </w:tc>
              <w:tc>
                <w:tcPr>
                  <w:tcW w:w="11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sz w:val="21"/>
                      <w:szCs w:val="21"/>
                      <w:highlight w:val="none"/>
                      <w:vertAlign w:val="baseline"/>
                      <w:lang w:val="en-US" w:eastAsia="zh-CN"/>
                    </w:rPr>
                    <w:t>存放地点</w:t>
                  </w:r>
                </w:p>
              </w:tc>
              <w:tc>
                <w:tcPr>
                  <w:tcW w:w="94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sz w:val="21"/>
                      <w:szCs w:val="21"/>
                      <w:highlight w:val="none"/>
                      <w:vertAlign w:val="baseline"/>
                      <w:lang w:val="en-US" w:eastAsia="zh-CN"/>
                    </w:rPr>
                    <w:t>排放周期</w:t>
                  </w:r>
                </w:p>
              </w:tc>
              <w:tc>
                <w:tcPr>
                  <w:tcW w:w="14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sz w:val="21"/>
                      <w:szCs w:val="21"/>
                      <w:highlight w:val="none"/>
                      <w:vertAlign w:val="baseline"/>
                      <w:lang w:val="en-US" w:eastAsia="zh-CN"/>
                    </w:rPr>
                    <w:t>处置措施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炉渣</w:t>
                  </w:r>
                </w:p>
              </w:tc>
              <w:tc>
                <w:tcPr>
                  <w:tcW w:w="890"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一般固废</w:t>
                  </w:r>
                </w:p>
              </w:tc>
              <w:tc>
                <w:tcPr>
                  <w:tcW w:w="142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生物质热水锅炉</w:t>
                  </w:r>
                </w:p>
              </w:tc>
              <w:tc>
                <w:tcPr>
                  <w:tcW w:w="100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204.781t/a</w:t>
                  </w:r>
                </w:p>
              </w:tc>
              <w:tc>
                <w:tcPr>
                  <w:tcW w:w="11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灰渣库</w:t>
                  </w:r>
                </w:p>
              </w:tc>
              <w:tc>
                <w:tcPr>
                  <w:tcW w:w="94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300天</w:t>
                  </w:r>
                </w:p>
              </w:tc>
              <w:tc>
                <w:tcPr>
                  <w:tcW w:w="14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外运周边农田施肥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除尘灰</w:t>
                  </w:r>
                </w:p>
              </w:tc>
              <w:tc>
                <w:tcPr>
                  <w:tcW w:w="89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42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旋风除尘器+布袋除尘器</w:t>
                  </w:r>
                </w:p>
              </w:tc>
              <w:tc>
                <w:tcPr>
                  <w:tcW w:w="100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0.921</w:t>
                  </w:r>
                  <w:r>
                    <w:rPr>
                      <w:rFonts w:hint="default" w:ascii="Times New Roman" w:hAnsi="Times New Roman" w:eastAsia="宋体" w:cs="Times New Roman"/>
                      <w:b w:val="0"/>
                      <w:bCs w:val="0"/>
                      <w:color w:val="auto"/>
                      <w:sz w:val="21"/>
                      <w:szCs w:val="21"/>
                      <w:highlight w:val="none"/>
                      <w:vertAlign w:val="baseline"/>
                      <w:lang w:val="en-US" w:eastAsia="zh-CN"/>
                    </w:rPr>
                    <w:t>t/a</w:t>
                  </w:r>
                </w:p>
              </w:tc>
              <w:tc>
                <w:tcPr>
                  <w:tcW w:w="11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灰渣库</w:t>
                  </w:r>
                </w:p>
              </w:tc>
              <w:tc>
                <w:tcPr>
                  <w:tcW w:w="94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300天</w:t>
                  </w:r>
                </w:p>
              </w:tc>
              <w:tc>
                <w:tcPr>
                  <w:tcW w:w="14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外运周边农田施肥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脱硫石膏</w:t>
                  </w:r>
                </w:p>
              </w:tc>
              <w:tc>
                <w:tcPr>
                  <w:tcW w:w="89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42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双碱法脱硫塔</w:t>
                  </w:r>
                </w:p>
              </w:tc>
              <w:tc>
                <w:tcPr>
                  <w:tcW w:w="100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3.277t/a</w:t>
                  </w:r>
                </w:p>
              </w:tc>
              <w:tc>
                <w:tcPr>
                  <w:tcW w:w="11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三级沉淀池</w:t>
                  </w:r>
                </w:p>
              </w:tc>
              <w:tc>
                <w:tcPr>
                  <w:tcW w:w="94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300天</w:t>
                  </w:r>
                </w:p>
              </w:tc>
              <w:tc>
                <w:tcPr>
                  <w:tcW w:w="14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外售建材公司综合利用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废饱和树脂</w:t>
                  </w:r>
                </w:p>
              </w:tc>
              <w:tc>
                <w:tcPr>
                  <w:tcW w:w="890"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42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软水制备装置</w:t>
                  </w:r>
                </w:p>
              </w:tc>
              <w:tc>
                <w:tcPr>
                  <w:tcW w:w="100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0.3t/a</w:t>
                  </w:r>
                </w:p>
              </w:tc>
              <w:tc>
                <w:tcPr>
                  <w:tcW w:w="118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94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14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由销售厂家直接回收，不在厂区内储存</w:t>
                  </w:r>
                </w:p>
              </w:tc>
            </w:tr>
          </w:tbl>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改建项目</w:t>
            </w:r>
            <w:r>
              <w:rPr>
                <w:rFonts w:hint="default" w:ascii="Times New Roman" w:hAnsi="Times New Roman" w:eastAsia="宋体" w:cs="Times New Roman"/>
                <w:color w:val="auto"/>
                <w:sz w:val="24"/>
                <w:szCs w:val="24"/>
                <w:highlight w:val="none"/>
              </w:rPr>
              <w:t>产生的固体废物均能妥善处理，对环境产生的影响较小</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val="0"/>
              <w:kinsoku/>
              <w:wordWrap/>
              <w:overflowPunct/>
              <w:topLinePunct w:val="0"/>
              <w:autoSpaceDE/>
              <w:autoSpaceDN/>
              <w:bidi w:val="0"/>
              <w:spacing w:line="360" w:lineRule="auto"/>
              <w:ind w:left="0" w:leftChars="0" w:right="0" w:rightChars="0" w:firstLine="482" w:firstLineChars="20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5、改建前后污染物排放变化情况（“三本账”）</w:t>
            </w:r>
          </w:p>
          <w:p>
            <w:pPr>
              <w:keepNext w:val="0"/>
              <w:keepLines w:val="0"/>
              <w:pageBreakBefore w:val="0"/>
              <w:widowControl w:val="0"/>
              <w:kinsoku/>
              <w:wordWrap/>
              <w:overflowPunct/>
              <w:topLinePunct w:val="0"/>
              <w:autoSpaceDE/>
              <w:autoSpaceDN/>
              <w:bidi w:val="0"/>
              <w:snapToGrid/>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改建</w:t>
            </w:r>
            <w:r>
              <w:rPr>
                <w:rFonts w:hint="default" w:ascii="Times New Roman" w:hAnsi="Times New Roman" w:eastAsia="宋体" w:cs="Times New Roman"/>
                <w:color w:val="auto"/>
                <w:sz w:val="24"/>
                <w:szCs w:val="24"/>
                <w:highlight w:val="none"/>
              </w:rPr>
              <w:t>前后污染物排放量变化情况见表</w:t>
            </w:r>
            <w:r>
              <w:rPr>
                <w:rFonts w:hint="default" w:ascii="Times New Roman" w:hAnsi="Times New Roman" w:eastAsia="宋体" w:cs="Times New Roman"/>
                <w:color w:val="auto"/>
                <w:sz w:val="24"/>
                <w:szCs w:val="24"/>
                <w:highlight w:val="none"/>
                <w:lang w:val="en-US" w:eastAsia="zh-CN"/>
              </w:rPr>
              <w:t>4-10</w:t>
            </w:r>
            <w:r>
              <w:rPr>
                <w:rFonts w:hint="default" w:ascii="Times New Roman" w:hAnsi="Times New Roman" w:eastAsia="宋体" w:cs="Times New Roman"/>
                <w:color w:val="auto"/>
                <w:sz w:val="24"/>
                <w:szCs w:val="24"/>
                <w:highlight w:val="none"/>
              </w:rPr>
              <w:t>。</w:t>
            </w:r>
          </w:p>
          <w:p>
            <w:pPr>
              <w:kinsoku/>
              <w:wordWrap/>
              <w:bidi w:val="0"/>
              <w:spacing w:line="360" w:lineRule="auto"/>
              <w:ind w:left="0" w:leftChars="0" w:right="0" w:rightChars="0" w:firstLine="0" w:firstLineChars="0"/>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表4-10  改建前后污染物排放量变化情况一览表</w:t>
            </w:r>
            <w:r>
              <w:rPr>
                <w:rFonts w:hint="eastAsia" w:cs="Times New Roman"/>
                <w:b/>
                <w:bCs/>
                <w:color w:val="auto"/>
                <w:highlight w:val="none"/>
                <w:lang w:val="en-US" w:eastAsia="zh-CN"/>
              </w:rPr>
              <w:t xml:space="preserve">  单位：t/a</w:t>
            </w:r>
          </w:p>
          <w:tbl>
            <w:tblPr>
              <w:tblStyle w:val="20"/>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8"/>
              <w:gridCol w:w="1837"/>
              <w:gridCol w:w="810"/>
              <w:gridCol w:w="1009"/>
              <w:gridCol w:w="1010"/>
              <w:gridCol w:w="1010"/>
              <w:gridCol w:w="1010"/>
              <w:gridCol w:w="11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类别</w:t>
                  </w:r>
                </w:p>
              </w:tc>
              <w:tc>
                <w:tcPr>
                  <w:tcW w:w="18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污染物名称</w:t>
                  </w:r>
                </w:p>
              </w:tc>
              <w:tc>
                <w:tcPr>
                  <w:tcW w:w="82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单位</w:t>
                  </w:r>
                </w:p>
              </w:tc>
              <w:tc>
                <w:tcPr>
                  <w:tcW w:w="10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现有项目排放量</w:t>
                  </w:r>
                </w:p>
              </w:tc>
              <w:tc>
                <w:tcPr>
                  <w:tcW w:w="102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改建工程排放量</w:t>
                  </w:r>
                </w:p>
              </w:tc>
              <w:tc>
                <w:tcPr>
                  <w:tcW w:w="102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“以新带老”消减量</w:t>
                  </w:r>
                </w:p>
              </w:tc>
              <w:tc>
                <w:tcPr>
                  <w:tcW w:w="102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改建后全厂总排放量</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增减量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2"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废气</w:t>
                  </w:r>
                </w:p>
              </w:tc>
              <w:tc>
                <w:tcPr>
                  <w:tcW w:w="18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颗粒物</w:t>
                  </w:r>
                </w:p>
              </w:tc>
              <w:tc>
                <w:tcPr>
                  <w:tcW w:w="82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t/a</w:t>
                  </w:r>
                </w:p>
              </w:tc>
              <w:tc>
                <w:tcPr>
                  <w:tcW w:w="10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0.871</w:t>
                  </w:r>
                </w:p>
              </w:tc>
              <w:tc>
                <w:tcPr>
                  <w:tcW w:w="1028"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eastAsia" w:cs="Times New Roman"/>
                      <w:bCs/>
                      <w:color w:val="auto"/>
                      <w:spacing w:val="0"/>
                      <w:sz w:val="21"/>
                      <w:szCs w:val="21"/>
                      <w:highlight w:val="none"/>
                      <w:lang w:val="en-US" w:eastAsia="zh-CN"/>
                    </w:rPr>
                    <w:t>0.161</w:t>
                  </w:r>
                </w:p>
              </w:tc>
              <w:tc>
                <w:tcPr>
                  <w:tcW w:w="1028"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rPr>
                  </w:pPr>
                  <w:r>
                    <w:rPr>
                      <w:rFonts w:hint="default" w:ascii="Times New Roman" w:hAnsi="Times New Roman" w:eastAsia="宋体" w:cs="Times New Roman"/>
                      <w:bCs/>
                      <w:color w:val="auto"/>
                      <w:spacing w:val="0"/>
                      <w:sz w:val="21"/>
                      <w:szCs w:val="21"/>
                      <w:highlight w:val="none"/>
                      <w:lang w:val="en-US" w:eastAsia="zh-CN"/>
                    </w:rPr>
                    <w:t>0.581</w:t>
                  </w:r>
                </w:p>
              </w:tc>
              <w:tc>
                <w:tcPr>
                  <w:tcW w:w="1028"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rPr>
                  </w:pPr>
                  <w:r>
                    <w:rPr>
                      <w:rFonts w:hint="eastAsia" w:cs="Times New Roman"/>
                      <w:bCs/>
                      <w:color w:val="auto"/>
                      <w:spacing w:val="0"/>
                      <w:sz w:val="21"/>
                      <w:szCs w:val="21"/>
                      <w:highlight w:val="none"/>
                      <w:lang w:val="en-US" w:eastAsia="zh-CN"/>
                    </w:rPr>
                    <w:t>0.451</w:t>
                  </w:r>
                </w:p>
              </w:tc>
              <w:tc>
                <w:tcPr>
                  <w:tcW w:w="1178"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rPr>
                  </w:pPr>
                  <w:r>
                    <w:rPr>
                      <w:rFonts w:hint="default" w:ascii="Times New Roman" w:hAnsi="Times New Roman" w:eastAsia="宋体" w:cs="Times New Roman"/>
                      <w:bCs/>
                      <w:color w:val="auto"/>
                      <w:spacing w:val="0"/>
                      <w:sz w:val="21"/>
                      <w:szCs w:val="21"/>
                      <w:highlight w:val="none"/>
                      <w:lang w:val="en-US" w:eastAsia="zh-CN"/>
                    </w:rPr>
                    <w:t>-</w:t>
                  </w:r>
                  <w:r>
                    <w:rPr>
                      <w:rFonts w:hint="eastAsia" w:cs="Times New Roman"/>
                      <w:bCs/>
                      <w:color w:val="auto"/>
                      <w:spacing w:val="0"/>
                      <w:sz w:val="21"/>
                      <w:szCs w:val="21"/>
                      <w:highlight w:val="none"/>
                      <w:lang w:val="en-US" w:eastAsia="zh-CN"/>
                    </w:rPr>
                    <w:t>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8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二氧化硫</w:t>
                  </w:r>
                </w:p>
              </w:tc>
              <w:tc>
                <w:tcPr>
                  <w:tcW w:w="82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t/a</w:t>
                  </w:r>
                </w:p>
              </w:tc>
              <w:tc>
                <w:tcPr>
                  <w:tcW w:w="10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2.851</w:t>
                  </w:r>
                </w:p>
              </w:tc>
              <w:tc>
                <w:tcPr>
                  <w:tcW w:w="1028"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eastAsia" w:cs="Times New Roman"/>
                      <w:bCs/>
                      <w:color w:val="auto"/>
                      <w:spacing w:val="0"/>
                      <w:sz w:val="21"/>
                      <w:szCs w:val="21"/>
                      <w:highlight w:val="none"/>
                      <w:lang w:val="en-US" w:eastAsia="zh-CN"/>
                    </w:rPr>
                    <w:t>1.836</w:t>
                  </w:r>
                </w:p>
              </w:tc>
              <w:tc>
                <w:tcPr>
                  <w:tcW w:w="1028"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rPr>
                  </w:pPr>
                  <w:r>
                    <w:rPr>
                      <w:rFonts w:hint="default" w:ascii="Times New Roman" w:hAnsi="Times New Roman" w:eastAsia="宋体" w:cs="Times New Roman"/>
                      <w:bCs/>
                      <w:color w:val="auto"/>
                      <w:spacing w:val="0"/>
                      <w:sz w:val="21"/>
                      <w:szCs w:val="21"/>
                      <w:highlight w:val="none"/>
                      <w:lang w:val="en-US" w:eastAsia="zh-CN"/>
                    </w:rPr>
                    <w:t>1.901</w:t>
                  </w:r>
                </w:p>
              </w:tc>
              <w:tc>
                <w:tcPr>
                  <w:tcW w:w="1028"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rPr>
                  </w:pPr>
                  <w:r>
                    <w:rPr>
                      <w:rFonts w:hint="eastAsia" w:cs="Times New Roman"/>
                      <w:bCs/>
                      <w:color w:val="auto"/>
                      <w:spacing w:val="0"/>
                      <w:sz w:val="21"/>
                      <w:szCs w:val="21"/>
                      <w:highlight w:val="none"/>
                      <w:lang w:val="en-US" w:eastAsia="zh-CN"/>
                    </w:rPr>
                    <w:t>2.786</w:t>
                  </w:r>
                </w:p>
              </w:tc>
              <w:tc>
                <w:tcPr>
                  <w:tcW w:w="1178"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rPr>
                  </w:pPr>
                  <w:r>
                    <w:rPr>
                      <w:rFonts w:hint="default" w:ascii="Times New Roman" w:hAnsi="Times New Roman" w:eastAsia="宋体" w:cs="Times New Roman"/>
                      <w:bCs/>
                      <w:color w:val="auto"/>
                      <w:spacing w:val="0"/>
                      <w:sz w:val="21"/>
                      <w:szCs w:val="21"/>
                      <w:highlight w:val="none"/>
                      <w:lang w:val="en-US" w:eastAsia="zh-CN"/>
                    </w:rPr>
                    <w:t>-</w:t>
                  </w:r>
                  <w:r>
                    <w:rPr>
                      <w:rFonts w:hint="eastAsia" w:cs="Times New Roman"/>
                      <w:bCs/>
                      <w:color w:val="auto"/>
                      <w:spacing w:val="0"/>
                      <w:sz w:val="21"/>
                      <w:szCs w:val="21"/>
                      <w:highlight w:val="none"/>
                      <w:lang w:val="en-US" w:eastAsia="zh-CN"/>
                    </w:rPr>
                    <w:t>0.065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8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氮氧化物</w:t>
                  </w:r>
                </w:p>
              </w:tc>
              <w:tc>
                <w:tcPr>
                  <w:tcW w:w="82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t/a</w:t>
                  </w:r>
                </w:p>
              </w:tc>
              <w:tc>
                <w:tcPr>
                  <w:tcW w:w="10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4.277</w:t>
                  </w:r>
                </w:p>
              </w:tc>
              <w:tc>
                <w:tcPr>
                  <w:tcW w:w="1028"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bCs/>
                      <w:color w:val="auto"/>
                      <w:spacing w:val="0"/>
                      <w:sz w:val="21"/>
                      <w:szCs w:val="21"/>
                      <w:highlight w:val="none"/>
                      <w:lang w:val="en-US" w:eastAsia="zh-CN"/>
                    </w:rPr>
                    <w:t>2.203</w:t>
                  </w:r>
                </w:p>
              </w:tc>
              <w:tc>
                <w:tcPr>
                  <w:tcW w:w="1028"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rPr>
                  </w:pPr>
                  <w:r>
                    <w:rPr>
                      <w:rFonts w:hint="default" w:ascii="Times New Roman" w:hAnsi="Times New Roman" w:eastAsia="宋体" w:cs="Times New Roman"/>
                      <w:bCs/>
                      <w:color w:val="auto"/>
                      <w:spacing w:val="0"/>
                      <w:sz w:val="21"/>
                      <w:szCs w:val="21"/>
                      <w:highlight w:val="none"/>
                      <w:lang w:val="en-US" w:eastAsia="zh-CN"/>
                    </w:rPr>
                    <w:t>2.851</w:t>
                  </w:r>
                </w:p>
              </w:tc>
              <w:tc>
                <w:tcPr>
                  <w:tcW w:w="1028"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rPr>
                  </w:pPr>
                  <w:r>
                    <w:rPr>
                      <w:rFonts w:hint="default" w:ascii="Times New Roman" w:hAnsi="Times New Roman" w:eastAsia="宋体" w:cs="Times New Roman"/>
                      <w:bCs/>
                      <w:color w:val="auto"/>
                      <w:spacing w:val="0"/>
                      <w:sz w:val="21"/>
                      <w:szCs w:val="21"/>
                      <w:highlight w:val="none"/>
                      <w:lang w:val="en-US" w:eastAsia="zh-CN"/>
                    </w:rPr>
                    <w:t>3.629</w:t>
                  </w:r>
                </w:p>
              </w:tc>
              <w:tc>
                <w:tcPr>
                  <w:tcW w:w="1178"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rPr>
                  </w:pPr>
                  <w:r>
                    <w:rPr>
                      <w:rFonts w:hint="default" w:ascii="Times New Roman" w:hAnsi="Times New Roman" w:eastAsia="宋体" w:cs="Times New Roman"/>
                      <w:bCs/>
                      <w:color w:val="auto"/>
                      <w:spacing w:val="0"/>
                      <w:sz w:val="21"/>
                      <w:szCs w:val="21"/>
                      <w:highlight w:val="none"/>
                      <w:lang w:val="en-US" w:eastAsia="zh-CN"/>
                    </w:rPr>
                    <w:t>-0.648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8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汞及其化合物</w:t>
                  </w:r>
                </w:p>
              </w:tc>
              <w:tc>
                <w:tcPr>
                  <w:tcW w:w="82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t/a</w:t>
                  </w:r>
                </w:p>
              </w:tc>
              <w:tc>
                <w:tcPr>
                  <w:tcW w:w="10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0.00025</w:t>
                  </w:r>
                </w:p>
              </w:tc>
              <w:tc>
                <w:tcPr>
                  <w:tcW w:w="1028"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bCs/>
                      <w:color w:val="auto"/>
                      <w:spacing w:val="0"/>
                      <w:sz w:val="21"/>
                      <w:szCs w:val="21"/>
                      <w:highlight w:val="none"/>
                      <w:lang w:val="en-US" w:eastAsia="zh-CN"/>
                    </w:rPr>
                    <w:t>0.000018</w:t>
                  </w:r>
                </w:p>
              </w:tc>
              <w:tc>
                <w:tcPr>
                  <w:tcW w:w="1028"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rPr>
                  </w:pPr>
                  <w:r>
                    <w:rPr>
                      <w:rFonts w:hint="default" w:ascii="Times New Roman" w:hAnsi="Times New Roman" w:eastAsia="宋体" w:cs="Times New Roman"/>
                      <w:bCs/>
                      <w:color w:val="auto"/>
                      <w:spacing w:val="0"/>
                      <w:sz w:val="21"/>
                      <w:szCs w:val="21"/>
                      <w:highlight w:val="none"/>
                      <w:lang w:val="en-US" w:eastAsia="zh-CN"/>
                    </w:rPr>
                    <w:t>0.00018</w:t>
                  </w:r>
                </w:p>
              </w:tc>
              <w:tc>
                <w:tcPr>
                  <w:tcW w:w="1028"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rPr>
                  </w:pPr>
                  <w:r>
                    <w:rPr>
                      <w:rFonts w:hint="default" w:ascii="Times New Roman" w:hAnsi="Times New Roman" w:eastAsia="宋体" w:cs="Times New Roman"/>
                      <w:bCs/>
                      <w:color w:val="auto"/>
                      <w:spacing w:val="0"/>
                      <w:sz w:val="21"/>
                      <w:szCs w:val="21"/>
                      <w:highlight w:val="none"/>
                      <w:lang w:val="en-US" w:eastAsia="zh-CN"/>
                    </w:rPr>
                    <w:t>0.000088</w:t>
                  </w:r>
                </w:p>
              </w:tc>
              <w:tc>
                <w:tcPr>
                  <w:tcW w:w="1178"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rPr>
                  </w:pPr>
                  <w:r>
                    <w:rPr>
                      <w:rFonts w:hint="default" w:ascii="Times New Roman" w:hAnsi="Times New Roman" w:eastAsia="宋体" w:cs="Times New Roman"/>
                      <w:bCs/>
                      <w:color w:val="auto"/>
                      <w:spacing w:val="0"/>
                      <w:sz w:val="21"/>
                      <w:szCs w:val="21"/>
                      <w:highlight w:val="none"/>
                      <w:lang w:val="en-US" w:eastAsia="zh-CN"/>
                    </w:rPr>
                    <w:t>-0.000162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2"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废水</w:t>
                  </w:r>
                </w:p>
              </w:tc>
              <w:tc>
                <w:tcPr>
                  <w:tcW w:w="18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锅炉定期排污水</w:t>
                  </w:r>
                </w:p>
              </w:tc>
              <w:tc>
                <w:tcPr>
                  <w:tcW w:w="82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t/a</w:t>
                  </w:r>
                </w:p>
              </w:tc>
              <w:tc>
                <w:tcPr>
                  <w:tcW w:w="10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1050</w:t>
                  </w:r>
                </w:p>
              </w:tc>
              <w:tc>
                <w:tcPr>
                  <w:tcW w:w="1028"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rPr>
                  </w:pPr>
                  <w:r>
                    <w:rPr>
                      <w:rFonts w:hint="default" w:ascii="Times New Roman" w:hAnsi="Times New Roman" w:eastAsia="宋体" w:cs="Times New Roman"/>
                      <w:bCs/>
                      <w:color w:val="auto"/>
                      <w:spacing w:val="0"/>
                      <w:sz w:val="21"/>
                      <w:szCs w:val="21"/>
                      <w:highlight w:val="none"/>
                      <w:lang w:val="en-US" w:eastAsia="zh-CN"/>
                    </w:rPr>
                    <w:t>864</w:t>
                  </w:r>
                </w:p>
              </w:tc>
              <w:tc>
                <w:tcPr>
                  <w:tcW w:w="102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700</w:t>
                  </w:r>
                </w:p>
              </w:tc>
              <w:tc>
                <w:tcPr>
                  <w:tcW w:w="102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890</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8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软水制备废水</w:t>
                  </w:r>
                </w:p>
              </w:tc>
              <w:tc>
                <w:tcPr>
                  <w:tcW w:w="82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t/a</w:t>
                  </w:r>
                </w:p>
              </w:tc>
              <w:tc>
                <w:tcPr>
                  <w:tcW w:w="10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720</w:t>
                  </w:r>
                </w:p>
              </w:tc>
              <w:tc>
                <w:tcPr>
                  <w:tcW w:w="1028"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rPr>
                  </w:pPr>
                  <w:r>
                    <w:rPr>
                      <w:rFonts w:hint="default" w:ascii="Times New Roman" w:hAnsi="Times New Roman" w:eastAsia="宋体" w:cs="Times New Roman"/>
                      <w:bCs/>
                      <w:color w:val="auto"/>
                      <w:spacing w:val="0"/>
                      <w:sz w:val="21"/>
                      <w:szCs w:val="21"/>
                      <w:highlight w:val="none"/>
                      <w:lang w:val="en-US" w:eastAsia="zh-CN"/>
                    </w:rPr>
                    <w:t>540</w:t>
                  </w:r>
                </w:p>
              </w:tc>
              <w:tc>
                <w:tcPr>
                  <w:tcW w:w="102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480</w:t>
                  </w:r>
                </w:p>
              </w:tc>
              <w:tc>
                <w:tcPr>
                  <w:tcW w:w="102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780</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8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eastAsia="zh-CN"/>
                    </w:rPr>
                    <w:t>脱硫塔废</w:t>
                  </w:r>
                  <w:r>
                    <w:rPr>
                      <w:rFonts w:hint="default" w:ascii="Times New Roman" w:hAnsi="Times New Roman" w:eastAsia="宋体" w:cs="Times New Roman"/>
                      <w:color w:val="auto"/>
                      <w:sz w:val="21"/>
                      <w:szCs w:val="21"/>
                      <w:highlight w:val="none"/>
                    </w:rPr>
                    <w:t>水</w:t>
                  </w:r>
                </w:p>
              </w:tc>
              <w:tc>
                <w:tcPr>
                  <w:tcW w:w="82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t/a</w:t>
                  </w:r>
                </w:p>
              </w:tc>
              <w:tc>
                <w:tcPr>
                  <w:tcW w:w="10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0</w:t>
                  </w:r>
                </w:p>
              </w:tc>
              <w:tc>
                <w:tcPr>
                  <w:tcW w:w="102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0</w:t>
                  </w:r>
                </w:p>
              </w:tc>
              <w:tc>
                <w:tcPr>
                  <w:tcW w:w="102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0</w:t>
                  </w:r>
                </w:p>
              </w:tc>
              <w:tc>
                <w:tcPr>
                  <w:tcW w:w="102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0</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2"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固体废物</w:t>
                  </w:r>
                </w:p>
              </w:tc>
              <w:tc>
                <w:tcPr>
                  <w:tcW w:w="18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灰渣</w:t>
                  </w:r>
                </w:p>
              </w:tc>
              <w:tc>
                <w:tcPr>
                  <w:tcW w:w="82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t/a</w:t>
                  </w:r>
                </w:p>
              </w:tc>
              <w:tc>
                <w:tcPr>
                  <w:tcW w:w="10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720</w:t>
                  </w:r>
                </w:p>
              </w:tc>
              <w:tc>
                <w:tcPr>
                  <w:tcW w:w="102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204.781</w:t>
                  </w:r>
                </w:p>
              </w:tc>
              <w:tc>
                <w:tcPr>
                  <w:tcW w:w="102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480</w:t>
                  </w:r>
                </w:p>
              </w:tc>
              <w:tc>
                <w:tcPr>
                  <w:tcW w:w="102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444.781</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-275.219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8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除尘灰</w:t>
                  </w:r>
                </w:p>
              </w:tc>
              <w:tc>
                <w:tcPr>
                  <w:tcW w:w="82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t/a</w:t>
                  </w:r>
                </w:p>
              </w:tc>
              <w:tc>
                <w:tcPr>
                  <w:tcW w:w="10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147</w:t>
                  </w:r>
                </w:p>
              </w:tc>
              <w:tc>
                <w:tcPr>
                  <w:tcW w:w="102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cs="Times New Roman"/>
                      <w:b w:val="0"/>
                      <w:bCs w:val="0"/>
                      <w:color w:val="auto"/>
                      <w:sz w:val="21"/>
                      <w:szCs w:val="21"/>
                      <w:highlight w:val="none"/>
                      <w:vertAlign w:val="baseline"/>
                      <w:lang w:val="en-US" w:eastAsia="zh-CN"/>
                    </w:rPr>
                    <w:t>0.921</w:t>
                  </w:r>
                </w:p>
              </w:tc>
              <w:tc>
                <w:tcPr>
                  <w:tcW w:w="102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98</w:t>
                  </w:r>
                </w:p>
              </w:tc>
              <w:tc>
                <w:tcPr>
                  <w:tcW w:w="102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49.921</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w:t>
                  </w:r>
                  <w:r>
                    <w:rPr>
                      <w:rFonts w:hint="eastAsia" w:cs="Times New Roman"/>
                      <w:b w:val="0"/>
                      <w:bCs w:val="0"/>
                      <w:color w:val="auto"/>
                      <w:sz w:val="21"/>
                      <w:szCs w:val="21"/>
                      <w:highlight w:val="none"/>
                      <w:vertAlign w:val="baseline"/>
                      <w:lang w:val="en-US" w:eastAsia="zh-CN"/>
                    </w:rPr>
                    <w:t>97.079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8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脱硫石膏</w:t>
                  </w:r>
                </w:p>
              </w:tc>
              <w:tc>
                <w:tcPr>
                  <w:tcW w:w="82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t/a</w:t>
                  </w:r>
                </w:p>
              </w:tc>
              <w:tc>
                <w:tcPr>
                  <w:tcW w:w="10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56</w:t>
                  </w:r>
                </w:p>
              </w:tc>
              <w:tc>
                <w:tcPr>
                  <w:tcW w:w="102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3.277</w:t>
                  </w:r>
                </w:p>
              </w:tc>
              <w:tc>
                <w:tcPr>
                  <w:tcW w:w="102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37.333</w:t>
                  </w:r>
                </w:p>
              </w:tc>
              <w:tc>
                <w:tcPr>
                  <w:tcW w:w="102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21.944</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-34.056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87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废饱和树脂</w:t>
                  </w:r>
                </w:p>
              </w:tc>
              <w:tc>
                <w:tcPr>
                  <w:tcW w:w="82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t/a</w:t>
                  </w:r>
                </w:p>
              </w:tc>
              <w:tc>
                <w:tcPr>
                  <w:tcW w:w="102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0.3</w:t>
                  </w:r>
                </w:p>
              </w:tc>
              <w:tc>
                <w:tcPr>
                  <w:tcW w:w="102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0.3</w:t>
                  </w:r>
                </w:p>
              </w:tc>
              <w:tc>
                <w:tcPr>
                  <w:tcW w:w="102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0.3</w:t>
                  </w:r>
                </w:p>
              </w:tc>
              <w:tc>
                <w:tcPr>
                  <w:tcW w:w="102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0.3</w:t>
                  </w:r>
                </w:p>
              </w:tc>
              <w:tc>
                <w:tcPr>
                  <w:tcW w:w="117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0</w:t>
                  </w:r>
                </w:p>
              </w:tc>
            </w:tr>
          </w:tbl>
          <w:p>
            <w:pPr>
              <w:pStyle w:val="11"/>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482" w:firstLineChars="200"/>
              <w:jc w:val="both"/>
              <w:textAlignment w:val="auto"/>
              <w:rPr>
                <w:rFonts w:hint="default" w:ascii="Times New Roman" w:hAnsi="Times New Roman" w:eastAsia="宋体" w:cs="Times New Roman"/>
                <w:b/>
                <w:color w:val="auto"/>
                <w:highlight w:val="none"/>
              </w:rPr>
            </w:pPr>
            <w:r>
              <w:rPr>
                <w:rFonts w:hint="default" w:ascii="Times New Roman" w:hAnsi="Times New Roman" w:eastAsia="宋体" w:cs="Times New Roman"/>
                <w:b/>
                <w:bCs/>
                <w:color w:val="auto"/>
                <w:highlight w:val="none"/>
                <w:lang w:val="en-US" w:eastAsia="zh-CN"/>
              </w:rPr>
              <w:t>6、</w:t>
            </w:r>
            <w:r>
              <w:rPr>
                <w:rFonts w:hint="default" w:ascii="Times New Roman" w:hAnsi="Times New Roman" w:eastAsia="宋体" w:cs="Times New Roman"/>
                <w:b/>
                <w:bCs/>
                <w:color w:val="auto"/>
                <w:highlight w:val="none"/>
              </w:rPr>
              <w:t>地</w:t>
            </w:r>
            <w:r>
              <w:rPr>
                <w:rFonts w:hint="default" w:ascii="Times New Roman" w:hAnsi="Times New Roman" w:eastAsia="宋体" w:cs="Times New Roman"/>
                <w:b/>
                <w:color w:val="auto"/>
                <w:highlight w:val="none"/>
              </w:rPr>
              <w:t>下水环境、土壤环境影响分析</w:t>
            </w:r>
          </w:p>
          <w:p>
            <w:pPr>
              <w:keepNext w:val="0"/>
              <w:keepLines w:val="0"/>
              <w:pageBreakBefore w:val="0"/>
              <w:widowControl w:val="0"/>
              <w:kinsoku/>
              <w:wordWrap/>
              <w:overflowPunct/>
              <w:topLinePunct w:val="0"/>
              <w:autoSpaceDE/>
              <w:autoSpaceDN/>
              <w:bidi w:val="0"/>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改建项目</w:t>
            </w:r>
            <w:r>
              <w:rPr>
                <w:rFonts w:hint="default" w:ascii="Times New Roman" w:hAnsi="Times New Roman" w:eastAsia="宋体" w:cs="Times New Roman"/>
                <w:color w:val="auto"/>
                <w:sz w:val="24"/>
                <w:szCs w:val="32"/>
                <w:highlight w:val="none"/>
                <w:lang w:eastAsia="zh-CN"/>
              </w:rPr>
              <w:t>灰渣库、</w:t>
            </w:r>
            <w:r>
              <w:rPr>
                <w:rFonts w:hint="default" w:ascii="Times New Roman" w:hAnsi="Times New Roman" w:eastAsia="宋体" w:cs="Times New Roman"/>
                <w:color w:val="auto"/>
                <w:sz w:val="24"/>
                <w:szCs w:val="32"/>
                <w:highlight w:val="none"/>
                <w:lang w:val="en-US" w:eastAsia="zh-CN"/>
              </w:rPr>
              <w:t>三级沉淀池</w:t>
            </w:r>
            <w:r>
              <w:rPr>
                <w:rFonts w:hint="default" w:ascii="Times New Roman" w:hAnsi="Times New Roman" w:eastAsia="宋体" w:cs="Times New Roman"/>
                <w:color w:val="auto"/>
                <w:sz w:val="24"/>
                <w:highlight w:val="none"/>
              </w:rPr>
              <w:t>为</w:t>
            </w:r>
            <w:r>
              <w:rPr>
                <w:rFonts w:hint="default" w:ascii="Times New Roman" w:hAnsi="Times New Roman" w:eastAsia="宋体" w:cs="Times New Roman"/>
                <w:color w:val="auto"/>
                <w:sz w:val="24"/>
                <w:highlight w:val="none"/>
                <w:lang w:val="en-US" w:eastAsia="zh-CN"/>
              </w:rPr>
              <w:t>一般</w:t>
            </w:r>
            <w:r>
              <w:rPr>
                <w:rFonts w:hint="default" w:ascii="Times New Roman" w:hAnsi="Times New Roman" w:eastAsia="宋体" w:cs="Times New Roman"/>
                <w:color w:val="auto"/>
                <w:sz w:val="24"/>
                <w:highlight w:val="none"/>
              </w:rPr>
              <w:t>防渗区</w:t>
            </w:r>
            <w:r>
              <w:rPr>
                <w:rFonts w:hint="default" w:ascii="Times New Roman" w:hAnsi="Times New Roman" w:eastAsia="宋体" w:cs="Times New Roman"/>
                <w:color w:val="auto"/>
                <w:sz w:val="24"/>
                <w:highlight w:val="none"/>
                <w:lang w:eastAsia="zh-CN"/>
              </w:rPr>
              <w:t>，渗透系数</w:t>
            </w:r>
            <w:r>
              <w:rPr>
                <w:rFonts w:hint="default" w:ascii="Times New Roman" w:hAnsi="Times New Roman" w:eastAsia="宋体" w:cs="Times New Roman"/>
                <w:color w:val="auto"/>
                <w:sz w:val="24"/>
                <w:highlight w:val="none"/>
              </w:rPr>
              <w:t>小于1×10</w:t>
            </w:r>
            <w:r>
              <w:rPr>
                <w:rFonts w:hint="default" w:ascii="Times New Roman" w:hAnsi="Times New Roman" w:eastAsia="宋体" w:cs="Times New Roman"/>
                <w:color w:val="auto"/>
                <w:sz w:val="24"/>
                <w:highlight w:val="none"/>
                <w:vertAlign w:val="superscript"/>
              </w:rPr>
              <w:t>-7</w:t>
            </w:r>
            <w:r>
              <w:rPr>
                <w:rFonts w:hint="default" w:ascii="Times New Roman" w:hAnsi="Times New Roman" w:eastAsia="宋体" w:cs="Times New Roman"/>
                <w:color w:val="auto"/>
                <w:sz w:val="24"/>
                <w:highlight w:val="none"/>
              </w:rPr>
              <w:t>cm/s，采用混凝土</w:t>
            </w:r>
            <w:r>
              <w:rPr>
                <w:rFonts w:hint="default" w:ascii="Times New Roman" w:hAnsi="Times New Roman" w:eastAsia="宋体" w:cs="Times New Roman"/>
                <w:color w:val="auto"/>
                <w:sz w:val="24"/>
                <w:szCs w:val="24"/>
                <w:highlight w:val="none"/>
                <w:lang w:val="en-US" w:eastAsia="zh-CN"/>
              </w:rPr>
              <w:t>+防水材料</w:t>
            </w:r>
            <w:r>
              <w:rPr>
                <w:rFonts w:hint="default" w:ascii="Times New Roman" w:hAnsi="Times New Roman" w:eastAsia="宋体" w:cs="Times New Roman"/>
                <w:color w:val="auto"/>
                <w:sz w:val="24"/>
                <w:szCs w:val="24"/>
                <w:highlight w:val="none"/>
              </w:rPr>
              <w:t>铺设</w:t>
            </w:r>
            <w:r>
              <w:rPr>
                <w:rFonts w:hint="default" w:ascii="Times New Roman" w:hAnsi="Times New Roman" w:eastAsia="宋体" w:cs="Times New Roman"/>
                <w:color w:val="auto"/>
                <w:sz w:val="24"/>
                <w:highlight w:val="none"/>
              </w:rPr>
              <w:t>，达到防渗的目的；</w:t>
            </w:r>
            <w:r>
              <w:rPr>
                <w:rFonts w:hint="default" w:ascii="Times New Roman" w:hAnsi="Times New Roman" w:eastAsia="宋体" w:cs="Times New Roman"/>
                <w:color w:val="auto"/>
                <w:sz w:val="24"/>
                <w:szCs w:val="32"/>
                <w:highlight w:val="none"/>
                <w:lang w:eastAsia="zh-CN"/>
              </w:rPr>
              <w:t>燃料库</w:t>
            </w:r>
            <w:r>
              <w:rPr>
                <w:rFonts w:hint="default" w:ascii="Times New Roman" w:hAnsi="Times New Roman" w:eastAsia="宋体" w:cs="Times New Roman"/>
                <w:color w:val="auto"/>
                <w:sz w:val="24"/>
                <w:szCs w:val="32"/>
                <w:highlight w:val="none"/>
              </w:rPr>
              <w:t>、</w:t>
            </w:r>
            <w:r>
              <w:rPr>
                <w:rFonts w:hint="default" w:ascii="Times New Roman" w:hAnsi="Times New Roman" w:eastAsia="宋体" w:cs="Times New Roman"/>
                <w:color w:val="auto"/>
                <w:sz w:val="24"/>
                <w:szCs w:val="32"/>
                <w:highlight w:val="none"/>
                <w:lang w:eastAsia="zh-CN"/>
              </w:rPr>
              <w:t>锅炉房</w:t>
            </w:r>
            <w:r>
              <w:rPr>
                <w:rFonts w:hint="default" w:ascii="Times New Roman" w:hAnsi="Times New Roman" w:eastAsia="宋体" w:cs="Times New Roman"/>
                <w:color w:val="auto"/>
                <w:sz w:val="24"/>
                <w:highlight w:val="none"/>
              </w:rPr>
              <w:t>为简单防渗区。</w:t>
            </w:r>
          </w:p>
          <w:p>
            <w:pPr>
              <w:keepNext w:val="0"/>
              <w:keepLines w:val="0"/>
              <w:pageBreakBefore w:val="0"/>
              <w:widowControl w:val="0"/>
              <w:kinsoku/>
              <w:wordWrap/>
              <w:overflowPunct/>
              <w:topLinePunct w:val="0"/>
              <w:autoSpaceDE/>
              <w:autoSpaceDN/>
              <w:bidi w:val="0"/>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通过采取严格有效的防渗措施，可以有效降低非正常工况发生的污染物</w:t>
            </w:r>
            <w:r>
              <w:rPr>
                <w:rFonts w:hint="default" w:ascii="Times New Roman" w:hAnsi="Times New Roman" w:eastAsia="宋体" w:cs="Times New Roman"/>
                <w:color w:val="auto"/>
                <w:sz w:val="24"/>
                <w:highlight w:val="none"/>
                <w:lang w:eastAsia="zh-CN"/>
              </w:rPr>
              <w:t>泄漏事故</w:t>
            </w:r>
            <w:r>
              <w:rPr>
                <w:rFonts w:hint="default" w:ascii="Times New Roman" w:hAnsi="Times New Roman" w:eastAsia="宋体" w:cs="Times New Roman"/>
                <w:color w:val="auto"/>
                <w:sz w:val="24"/>
                <w:highlight w:val="none"/>
              </w:rPr>
              <w:t>；在发生</w:t>
            </w:r>
            <w:r>
              <w:rPr>
                <w:rFonts w:hint="default" w:ascii="Times New Roman" w:hAnsi="Times New Roman" w:eastAsia="宋体" w:cs="Times New Roman"/>
                <w:color w:val="auto"/>
                <w:sz w:val="24"/>
                <w:highlight w:val="none"/>
                <w:lang w:eastAsia="zh-CN"/>
              </w:rPr>
              <w:t>泄漏</w:t>
            </w:r>
            <w:r>
              <w:rPr>
                <w:rFonts w:hint="default" w:ascii="Times New Roman" w:hAnsi="Times New Roman" w:eastAsia="宋体" w:cs="Times New Roman"/>
                <w:color w:val="auto"/>
                <w:sz w:val="24"/>
                <w:highlight w:val="none"/>
              </w:rPr>
              <w:t>情况下，采取有效的应急措施，可以污染物进入地下水、土壤环境的风险降到最低。</w:t>
            </w:r>
          </w:p>
          <w:p>
            <w:pPr>
              <w:keepNext w:val="0"/>
              <w:keepLines w:val="0"/>
              <w:pageBreakBefore w:val="0"/>
              <w:widowControl w:val="0"/>
              <w:kinsoku/>
              <w:wordWrap/>
              <w:overflowPunct/>
              <w:topLinePunct w:val="0"/>
              <w:autoSpaceDE/>
              <w:autoSpaceDN/>
              <w:bidi w:val="0"/>
              <w:snapToGrid/>
              <w:spacing w:line="360" w:lineRule="auto"/>
              <w:ind w:left="0" w:leftChars="0" w:right="0" w:rightChars="0" w:firstLine="482" w:firstLineChars="200"/>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6、环境风险评价</w:t>
            </w:r>
          </w:p>
          <w:p>
            <w:pPr>
              <w:keepNext w:val="0"/>
              <w:keepLines w:val="0"/>
              <w:pageBreakBefore w:val="0"/>
              <w:widowControl w:val="0"/>
              <w:kinsoku/>
              <w:wordWrap/>
              <w:overflowPunct/>
              <w:topLinePunct w:val="0"/>
              <w:autoSpaceDE/>
              <w:autoSpaceDN/>
              <w:bidi w:val="0"/>
              <w:snapToGrid/>
              <w:spacing w:line="360" w:lineRule="auto"/>
              <w:ind w:left="0" w:leftChars="0" w:right="0" w:rightChars="0" w:firstLine="482" w:firstLineChars="200"/>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6.1危险物质种类</w:t>
            </w:r>
          </w:p>
          <w:p>
            <w:pPr>
              <w:keepNext w:val="0"/>
              <w:keepLines w:val="0"/>
              <w:pageBreakBefore w:val="0"/>
              <w:widowControl w:val="0"/>
              <w:kinsoku/>
              <w:wordWrap/>
              <w:overflowPunct/>
              <w:topLinePunct w:val="0"/>
              <w:autoSpaceDE/>
              <w:autoSpaceDN/>
              <w:bidi w:val="0"/>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改建项目</w:t>
            </w:r>
            <w:r>
              <w:rPr>
                <w:rFonts w:hint="default" w:ascii="Times New Roman" w:hAnsi="Times New Roman" w:eastAsia="宋体" w:cs="Times New Roman"/>
                <w:color w:val="auto"/>
                <w:sz w:val="24"/>
                <w:highlight w:val="none"/>
              </w:rPr>
              <w:t>涉及的有毒有害和易燃易爆等危险物质为</w:t>
            </w:r>
            <w:r>
              <w:rPr>
                <w:rFonts w:hint="default" w:ascii="Times New Roman" w:hAnsi="Times New Roman" w:eastAsia="宋体" w:cs="Times New Roman"/>
                <w:color w:val="auto"/>
                <w:sz w:val="24"/>
                <w:highlight w:val="none"/>
                <w:lang w:eastAsia="zh-CN"/>
              </w:rPr>
              <w:t>生物质</w:t>
            </w:r>
            <w:r>
              <w:rPr>
                <w:rFonts w:hint="default" w:ascii="Times New Roman" w:hAnsi="Times New Roman" w:eastAsia="宋体" w:cs="Times New Roman"/>
                <w:color w:val="auto"/>
                <w:sz w:val="24"/>
                <w:highlight w:val="none"/>
                <w:lang w:val="en-US" w:eastAsia="zh-CN"/>
              </w:rPr>
              <w:t>燃料</w:t>
            </w:r>
            <w:r>
              <w:rPr>
                <w:rFonts w:hint="default" w:ascii="Times New Roman" w:hAnsi="Times New Roman" w:eastAsia="宋体" w:cs="Times New Roman"/>
                <w:color w:val="auto"/>
                <w:sz w:val="24"/>
                <w:highlight w:val="none"/>
              </w:rPr>
              <w:t>，为易燃物质。</w:t>
            </w:r>
          </w:p>
          <w:p>
            <w:pPr>
              <w:keepNext w:val="0"/>
              <w:keepLines w:val="0"/>
              <w:pageBreakBefore w:val="0"/>
              <w:widowControl w:val="0"/>
              <w:kinsoku/>
              <w:wordWrap/>
              <w:overflowPunct/>
              <w:topLinePunct w:val="0"/>
              <w:autoSpaceDE/>
              <w:autoSpaceDN/>
              <w:bidi w:val="0"/>
              <w:snapToGrid/>
              <w:spacing w:line="360" w:lineRule="auto"/>
              <w:ind w:left="0" w:leftChars="0" w:right="0" w:rightChars="0" w:firstLine="482" w:firstLineChars="200"/>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6.2风险源分布情况</w:t>
            </w:r>
          </w:p>
          <w:p>
            <w:pPr>
              <w:keepNext w:val="0"/>
              <w:keepLines w:val="0"/>
              <w:pageBreakBefore w:val="0"/>
              <w:widowControl w:val="0"/>
              <w:kinsoku/>
              <w:wordWrap/>
              <w:overflowPunct/>
              <w:topLinePunct w:val="0"/>
              <w:autoSpaceDE/>
              <w:autoSpaceDN/>
              <w:bidi w:val="0"/>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生物质</w:t>
            </w:r>
            <w:r>
              <w:rPr>
                <w:rFonts w:hint="default" w:ascii="Times New Roman" w:hAnsi="Times New Roman" w:eastAsia="宋体" w:cs="Times New Roman"/>
                <w:color w:val="auto"/>
                <w:sz w:val="24"/>
                <w:highlight w:val="none"/>
              </w:rPr>
              <w:t>主要分布于</w:t>
            </w:r>
            <w:r>
              <w:rPr>
                <w:rFonts w:hint="default" w:ascii="Times New Roman" w:hAnsi="Times New Roman" w:eastAsia="宋体" w:cs="Times New Roman"/>
                <w:color w:val="auto"/>
                <w:sz w:val="24"/>
                <w:szCs w:val="32"/>
                <w:highlight w:val="none"/>
                <w:lang w:eastAsia="zh-CN"/>
              </w:rPr>
              <w:t>燃料库</w:t>
            </w:r>
            <w:r>
              <w:rPr>
                <w:rFonts w:hint="default" w:ascii="Times New Roman" w:hAnsi="Times New Roman" w:eastAsia="宋体" w:cs="Times New Roman"/>
                <w:color w:val="auto"/>
                <w:sz w:val="24"/>
                <w:highlight w:val="none"/>
              </w:rPr>
              <w:t>内。</w:t>
            </w:r>
          </w:p>
          <w:p>
            <w:pPr>
              <w:keepNext w:val="0"/>
              <w:keepLines w:val="0"/>
              <w:pageBreakBefore w:val="0"/>
              <w:widowControl w:val="0"/>
              <w:kinsoku/>
              <w:wordWrap/>
              <w:overflowPunct/>
              <w:topLinePunct w:val="0"/>
              <w:autoSpaceDE/>
              <w:autoSpaceDN/>
              <w:bidi w:val="0"/>
              <w:snapToGrid/>
              <w:spacing w:line="360" w:lineRule="auto"/>
              <w:ind w:left="0" w:leftChars="0" w:right="0" w:rightChars="0" w:firstLine="482" w:firstLineChars="200"/>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6.3可能影响途径</w:t>
            </w:r>
          </w:p>
          <w:p>
            <w:pPr>
              <w:keepNext w:val="0"/>
              <w:keepLines w:val="0"/>
              <w:pageBreakBefore w:val="0"/>
              <w:widowControl w:val="0"/>
              <w:kinsoku/>
              <w:wordWrap/>
              <w:overflowPunct/>
              <w:topLinePunct w:val="0"/>
              <w:autoSpaceDE/>
              <w:autoSpaceDN/>
              <w:bidi w:val="0"/>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生物质</w:t>
            </w:r>
            <w:r>
              <w:rPr>
                <w:rFonts w:hint="default" w:ascii="Times New Roman" w:hAnsi="Times New Roman" w:eastAsia="宋体" w:cs="Times New Roman"/>
                <w:color w:val="auto"/>
                <w:sz w:val="24"/>
                <w:highlight w:val="none"/>
              </w:rPr>
              <w:t>属于易燃物品，遇明火后发生火灾，产生的废气会影响周围大气环境。</w:t>
            </w:r>
          </w:p>
          <w:p>
            <w:pPr>
              <w:keepNext w:val="0"/>
              <w:keepLines w:val="0"/>
              <w:pageBreakBefore w:val="0"/>
              <w:widowControl w:val="0"/>
              <w:kinsoku/>
              <w:wordWrap/>
              <w:overflowPunct/>
              <w:topLinePunct w:val="0"/>
              <w:autoSpaceDE/>
              <w:autoSpaceDN/>
              <w:bidi w:val="0"/>
              <w:snapToGrid/>
              <w:spacing w:line="360" w:lineRule="auto"/>
              <w:ind w:left="0" w:leftChars="0" w:right="0" w:rightChars="0" w:firstLine="482" w:firstLineChars="200"/>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6.4环境风险防范措施</w:t>
            </w:r>
          </w:p>
          <w:p>
            <w:pPr>
              <w:keepNext w:val="0"/>
              <w:keepLines w:val="0"/>
              <w:pageBreakBefore w:val="0"/>
              <w:widowControl w:val="0"/>
              <w:kinsoku/>
              <w:wordWrap/>
              <w:overflowPunct/>
              <w:topLinePunct w:val="0"/>
              <w:autoSpaceDE/>
              <w:autoSpaceDN/>
              <w:bidi w:val="0"/>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1）储存、使用过程的风险控制措施</w:t>
            </w:r>
          </w:p>
          <w:p>
            <w:pPr>
              <w:keepNext w:val="0"/>
              <w:keepLines w:val="0"/>
              <w:pageBreakBefore w:val="0"/>
              <w:widowControl w:val="0"/>
              <w:kinsoku/>
              <w:wordWrap/>
              <w:overflowPunct/>
              <w:topLinePunct w:val="0"/>
              <w:autoSpaceDE/>
              <w:autoSpaceDN/>
              <w:bidi w:val="0"/>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szCs w:val="32"/>
                <w:highlight w:val="none"/>
                <w:lang w:eastAsia="zh-CN"/>
              </w:rPr>
              <w:t>燃料库</w:t>
            </w:r>
            <w:r>
              <w:rPr>
                <w:rFonts w:hint="default" w:ascii="Times New Roman" w:hAnsi="Times New Roman" w:eastAsia="宋体" w:cs="Times New Roman"/>
                <w:color w:val="auto"/>
                <w:sz w:val="24"/>
                <w:highlight w:val="none"/>
              </w:rPr>
              <w:t>严禁吸烟和使用明火，防止火源进入；设置明显标志；安全设施、消防器材齐备；</w:t>
            </w:r>
            <w:r>
              <w:rPr>
                <w:rFonts w:hint="default" w:ascii="Times New Roman" w:hAnsi="Times New Roman" w:eastAsia="宋体" w:cs="Times New Roman"/>
                <w:color w:val="auto"/>
                <w:sz w:val="24"/>
                <w:szCs w:val="32"/>
                <w:highlight w:val="none"/>
                <w:lang w:eastAsia="zh-CN"/>
              </w:rPr>
              <w:t>燃料库</w:t>
            </w:r>
            <w:r>
              <w:rPr>
                <w:rFonts w:hint="default" w:ascii="Times New Roman" w:hAnsi="Times New Roman" w:eastAsia="宋体" w:cs="Times New Roman"/>
                <w:color w:val="auto"/>
                <w:sz w:val="24"/>
                <w:highlight w:val="none"/>
              </w:rPr>
              <w:t>设置温度报警器；制定各种操作规范，加强监督管理，严格安全、环保检查制度，避免环境事件的发生。</w:t>
            </w:r>
          </w:p>
          <w:p>
            <w:pPr>
              <w:keepNext w:val="0"/>
              <w:keepLines w:val="0"/>
              <w:pageBreakBefore w:val="0"/>
              <w:widowControl w:val="0"/>
              <w:kinsoku/>
              <w:wordWrap/>
              <w:overflowPunct/>
              <w:topLinePunct w:val="0"/>
              <w:autoSpaceDE/>
              <w:autoSpaceDN/>
              <w:bidi w:val="0"/>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2）风险防范措施</w:t>
            </w:r>
          </w:p>
          <w:p>
            <w:pPr>
              <w:keepNext w:val="0"/>
              <w:keepLines w:val="0"/>
              <w:pageBreakBefore w:val="0"/>
              <w:widowControl w:val="0"/>
              <w:kinsoku/>
              <w:wordWrap/>
              <w:overflowPunct/>
              <w:topLinePunct w:val="0"/>
              <w:autoSpaceDE/>
              <w:autoSpaceDN/>
              <w:bidi w:val="0"/>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szCs w:val="32"/>
                <w:highlight w:val="none"/>
                <w:lang w:eastAsia="zh-CN"/>
              </w:rPr>
              <w:t>燃料库</w:t>
            </w:r>
            <w:r>
              <w:rPr>
                <w:rFonts w:hint="default" w:ascii="Times New Roman" w:hAnsi="Times New Roman" w:eastAsia="宋体" w:cs="Times New Roman"/>
                <w:color w:val="auto"/>
                <w:sz w:val="24"/>
                <w:szCs w:val="32"/>
                <w:highlight w:val="none"/>
              </w:rPr>
              <w:t>、</w:t>
            </w:r>
            <w:r>
              <w:rPr>
                <w:rFonts w:hint="default" w:ascii="Times New Roman" w:hAnsi="Times New Roman" w:eastAsia="宋体" w:cs="Times New Roman"/>
                <w:color w:val="auto"/>
                <w:sz w:val="24"/>
                <w:szCs w:val="32"/>
                <w:highlight w:val="none"/>
                <w:lang w:eastAsia="zh-CN"/>
              </w:rPr>
              <w:t>锅炉房</w:t>
            </w:r>
            <w:r>
              <w:rPr>
                <w:rFonts w:hint="default" w:ascii="Times New Roman" w:hAnsi="Times New Roman" w:eastAsia="宋体" w:cs="Times New Roman"/>
                <w:color w:val="auto"/>
                <w:sz w:val="24"/>
                <w:szCs w:val="32"/>
                <w:highlight w:val="none"/>
              </w:rPr>
              <w:t>、</w:t>
            </w:r>
            <w:r>
              <w:rPr>
                <w:rFonts w:hint="default" w:ascii="Times New Roman" w:hAnsi="Times New Roman" w:eastAsia="宋体" w:cs="Times New Roman"/>
                <w:color w:val="auto"/>
                <w:sz w:val="24"/>
                <w:szCs w:val="32"/>
                <w:highlight w:val="none"/>
                <w:lang w:eastAsia="zh-CN"/>
              </w:rPr>
              <w:t>灰渣库</w:t>
            </w:r>
            <w:r>
              <w:rPr>
                <w:rFonts w:hint="default" w:ascii="Times New Roman" w:hAnsi="Times New Roman" w:eastAsia="宋体" w:cs="Times New Roman"/>
                <w:color w:val="auto"/>
                <w:sz w:val="24"/>
                <w:highlight w:val="none"/>
              </w:rPr>
              <w:t>处设置灭火器等灭火设施；在强化安全、环保教育，提高安全、环保意识的同时，企业保证预警、监控设施到位。配备救护设备；危险作业增设监护人员并为其</w:t>
            </w:r>
            <w:r>
              <w:rPr>
                <w:rFonts w:hint="default" w:ascii="Times New Roman" w:hAnsi="Times New Roman" w:eastAsia="宋体" w:cs="Times New Roman"/>
                <w:color w:val="auto"/>
                <w:sz w:val="24"/>
                <w:highlight w:val="none"/>
                <w:lang w:eastAsia="zh-CN"/>
              </w:rPr>
              <w:t>配备通信</w:t>
            </w:r>
            <w:r>
              <w:rPr>
                <w:rFonts w:hint="default" w:ascii="Times New Roman" w:hAnsi="Times New Roman" w:eastAsia="宋体" w:cs="Times New Roman"/>
                <w:color w:val="auto"/>
                <w:sz w:val="24"/>
                <w:highlight w:val="none"/>
              </w:rPr>
              <w:t>、救援等设备；按照国家、地方和相关部门要求，编制突发环境事件应急预案；企业根据实际情况，不断充实和完善应急预案的各项措施，并定期组织演练。</w:t>
            </w:r>
          </w:p>
          <w:p>
            <w:pPr>
              <w:keepNext w:val="0"/>
              <w:keepLines w:val="0"/>
              <w:pageBreakBefore w:val="0"/>
              <w:widowControl w:val="0"/>
              <w:kinsoku/>
              <w:wordWrap/>
              <w:overflowPunct/>
              <w:topLinePunct w:val="0"/>
              <w:autoSpaceDE/>
              <w:autoSpaceDN/>
              <w:bidi w:val="0"/>
              <w:snapToGrid/>
              <w:spacing w:line="360" w:lineRule="auto"/>
              <w:ind w:left="0" w:leftChars="0" w:right="0" w:rightChars="0" w:firstLine="480" w:firstLineChars="20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color w:val="auto"/>
                <w:highlight w:val="none"/>
                <w:lang w:val="en-US" w:eastAsia="zh-CN"/>
              </w:rPr>
              <w:t>拟建项目</w:t>
            </w:r>
            <w:r>
              <w:rPr>
                <w:rFonts w:hint="default" w:ascii="Times New Roman" w:hAnsi="Times New Roman" w:eastAsia="宋体" w:cs="Times New Roman"/>
                <w:color w:val="auto"/>
                <w:highlight w:val="none"/>
              </w:rPr>
              <w:t>突发环境污染事故应急预案制定框架见表</w:t>
            </w:r>
            <w:r>
              <w:rPr>
                <w:rFonts w:hint="default" w:ascii="Times New Roman" w:hAnsi="Times New Roman" w:eastAsia="宋体" w:cs="Times New Roman"/>
                <w:color w:val="auto"/>
                <w:highlight w:val="none"/>
                <w:lang w:val="en-US" w:eastAsia="zh-CN"/>
              </w:rPr>
              <w:t>4-11</w:t>
            </w:r>
            <w:r>
              <w:rPr>
                <w:rFonts w:hint="default" w:ascii="Times New Roman" w:hAnsi="Times New Roman" w:eastAsia="宋体" w:cs="Times New Roman"/>
                <w:color w:val="auto"/>
                <w:highlight w:val="none"/>
                <w:lang w:eastAsia="zh-CN"/>
              </w:rPr>
              <w:t>。</w:t>
            </w:r>
          </w:p>
          <w:p>
            <w:pPr>
              <w:kinsoku/>
              <w:wordWrap/>
              <w:bidi w:val="0"/>
              <w:spacing w:line="360" w:lineRule="auto"/>
              <w:ind w:left="0" w:leftChars="0" w:right="0" w:rightChars="0" w:firstLine="0" w:firstLineChars="0"/>
              <w:jc w:val="center"/>
              <w:rPr>
                <w:rFonts w:hint="default" w:ascii="Times New Roman" w:hAnsi="Times New Roman" w:eastAsia="宋体" w:cs="Times New Roman"/>
                <w:b/>
                <w:bCs/>
                <w:color w:val="auto"/>
                <w:sz w:val="24"/>
                <w:szCs w:val="22"/>
                <w:highlight w:val="none"/>
                <w:lang w:eastAsia="zh-CN"/>
              </w:rPr>
            </w:pPr>
            <w:r>
              <w:rPr>
                <w:rFonts w:hint="default" w:ascii="Times New Roman" w:hAnsi="Times New Roman" w:eastAsia="宋体" w:cs="Times New Roman"/>
                <w:b/>
                <w:bCs/>
                <w:color w:val="auto"/>
                <w:sz w:val="24"/>
                <w:szCs w:val="22"/>
                <w:highlight w:val="none"/>
              </w:rPr>
              <w:t>表</w:t>
            </w:r>
            <w:r>
              <w:rPr>
                <w:rFonts w:hint="default" w:ascii="Times New Roman" w:hAnsi="Times New Roman" w:eastAsia="宋体" w:cs="Times New Roman"/>
                <w:b/>
                <w:bCs/>
                <w:color w:val="auto"/>
                <w:sz w:val="24"/>
                <w:szCs w:val="22"/>
                <w:highlight w:val="none"/>
                <w:lang w:val="en-US" w:eastAsia="zh-CN"/>
              </w:rPr>
              <w:t xml:space="preserve">4-11  </w:t>
            </w:r>
            <w:r>
              <w:rPr>
                <w:rFonts w:hint="default" w:ascii="Times New Roman" w:hAnsi="Times New Roman" w:eastAsia="宋体" w:cs="Times New Roman"/>
                <w:b/>
                <w:bCs/>
                <w:color w:val="auto"/>
                <w:sz w:val="24"/>
                <w:szCs w:val="22"/>
                <w:highlight w:val="none"/>
              </w:rPr>
              <w:t>拟建项目突发环境污染事故应急预案</w:t>
            </w:r>
            <w:r>
              <w:rPr>
                <w:rFonts w:hint="default" w:ascii="Times New Roman" w:hAnsi="Times New Roman" w:eastAsia="宋体" w:cs="Times New Roman"/>
                <w:b/>
                <w:bCs/>
                <w:color w:val="auto"/>
                <w:sz w:val="24"/>
                <w:szCs w:val="22"/>
                <w:highlight w:val="none"/>
                <w:lang w:eastAsia="zh-CN"/>
              </w:rPr>
              <w:t>基本内容</w:t>
            </w:r>
          </w:p>
          <w:tbl>
            <w:tblPr>
              <w:tblStyle w:val="19"/>
              <w:tblW w:w="81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1"/>
              <w:gridCol w:w="1639"/>
              <w:gridCol w:w="57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163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项目</w:t>
                  </w:r>
                </w:p>
              </w:tc>
              <w:tc>
                <w:tcPr>
                  <w:tcW w:w="573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内容及要求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63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总则</w:t>
                  </w:r>
                </w:p>
              </w:tc>
              <w:tc>
                <w:tcPr>
                  <w:tcW w:w="5737"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简述生产过程中涉及物料性质及可能产生的突发环境污染事故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63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危险源概况</w:t>
                  </w:r>
                </w:p>
              </w:tc>
              <w:tc>
                <w:tcPr>
                  <w:tcW w:w="5737"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评述危险源类型、数量及其分布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63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应急计划区</w:t>
                  </w:r>
                </w:p>
              </w:tc>
              <w:tc>
                <w:tcPr>
                  <w:tcW w:w="5737"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燃料库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163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应急组织</w:t>
                  </w:r>
                </w:p>
              </w:tc>
              <w:tc>
                <w:tcPr>
                  <w:tcW w:w="5737"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工场：场指挥部——负责全场全面指挥</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专业救援队伍——负责事故控制、救援善后处理</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地区：地区指挥部——负责工场附近地区、全面指挥、救援疏散，专业救援队伍——负责对场专业救援队伍支持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163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应急状态分类及应急响应程度</w:t>
                  </w:r>
                </w:p>
              </w:tc>
              <w:tc>
                <w:tcPr>
                  <w:tcW w:w="573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规定事故的级别及相应的应急分类响应程度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163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应急设施、设备与材料</w:t>
                  </w:r>
                </w:p>
              </w:tc>
              <w:tc>
                <w:tcPr>
                  <w:tcW w:w="5737"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燃料库</w:t>
                  </w:r>
                  <w:r>
                    <w:rPr>
                      <w:rFonts w:hint="default" w:ascii="Times New Roman" w:hAnsi="Times New Roman" w:eastAsia="宋体" w:cs="Times New Roman"/>
                      <w:color w:val="auto"/>
                      <w:sz w:val="21"/>
                      <w:szCs w:val="21"/>
                      <w:highlight w:val="none"/>
                    </w:rPr>
                    <w:t>：</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①防火灾、爆炸事故应急设施、设备与材料；主要是消防器材和防护服装</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②防止</w:t>
                  </w:r>
                  <w:r>
                    <w:rPr>
                      <w:rFonts w:hint="default" w:ascii="Times New Roman" w:hAnsi="Times New Roman" w:eastAsia="宋体" w:cs="Times New Roman"/>
                      <w:color w:val="auto"/>
                      <w:sz w:val="21"/>
                      <w:szCs w:val="21"/>
                      <w:highlight w:val="none"/>
                      <w:lang w:eastAsia="zh-CN"/>
                    </w:rPr>
                    <w:t>废气处置设施出现故障，废气超标排放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p>
              </w:tc>
              <w:tc>
                <w:tcPr>
                  <w:tcW w:w="163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应急通讯、通知和交通</w:t>
                  </w:r>
                </w:p>
              </w:tc>
              <w:tc>
                <w:tcPr>
                  <w:tcW w:w="573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规定应急状态下的通讯方式、通知方式和交通保障、管制措施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163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应急环境监测及事故后评估</w:t>
                  </w:r>
                </w:p>
              </w:tc>
              <w:tc>
                <w:tcPr>
                  <w:tcW w:w="5737"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由专业队伍对事故现场进行监测，对事故性质、参数与后果进行评估，为指挥部门提供决策依据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w:t>
                  </w:r>
                </w:p>
              </w:tc>
              <w:tc>
                <w:tcPr>
                  <w:tcW w:w="163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应急防护措施、消除泄漏措施方法和器材</w:t>
                  </w:r>
                </w:p>
              </w:tc>
              <w:tc>
                <w:tcPr>
                  <w:tcW w:w="5737"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事故现场：控制事故、防止扩大、</w:t>
                  </w:r>
                  <w:r>
                    <w:rPr>
                      <w:rFonts w:hint="default" w:ascii="Times New Roman" w:hAnsi="Times New Roman" w:eastAsia="宋体" w:cs="Times New Roman"/>
                      <w:color w:val="auto"/>
                      <w:sz w:val="21"/>
                      <w:szCs w:val="21"/>
                      <w:highlight w:val="none"/>
                      <w:lang w:val="en-US" w:eastAsia="zh-CN"/>
                    </w:rPr>
                    <w:t>蔓延</w:t>
                  </w:r>
                  <w:r>
                    <w:rPr>
                      <w:rFonts w:hint="default" w:ascii="Times New Roman" w:hAnsi="Times New Roman" w:eastAsia="宋体" w:cs="Times New Roman"/>
                      <w:color w:val="auto"/>
                      <w:sz w:val="21"/>
                      <w:szCs w:val="21"/>
                      <w:highlight w:val="none"/>
                    </w:rPr>
                    <w:t>及连锁反应、消除现场泄漏物、降低危害；相应的设施器材配备</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邻近区域：控制火灾、有毒区域，控制和消除污染措施及相应设备配备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63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应急剂量控制、撤离组织计划、医疗救护与公众健康</w:t>
                  </w:r>
                </w:p>
              </w:tc>
              <w:tc>
                <w:tcPr>
                  <w:tcW w:w="5737"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事故现场：事故处理人员对毒物的应急剂量控制规定，现场及邻近装置人员撤离组织计划及救护</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w:t>
                  </w:r>
                  <w:r>
                    <w:rPr>
                      <w:rFonts w:hint="default" w:ascii="Times New Roman" w:hAnsi="Times New Roman" w:eastAsia="宋体" w:cs="Times New Roman"/>
                      <w:color w:val="auto"/>
                      <w:sz w:val="21"/>
                      <w:szCs w:val="21"/>
                      <w:highlight w:val="none"/>
                      <w:lang w:val="en-US" w:eastAsia="zh-CN"/>
                    </w:rPr>
                    <w:t>厂</w:t>
                  </w:r>
                  <w:r>
                    <w:rPr>
                      <w:rFonts w:hint="default" w:ascii="Times New Roman" w:hAnsi="Times New Roman" w:eastAsia="宋体" w:cs="Times New Roman"/>
                      <w:color w:val="auto"/>
                      <w:sz w:val="21"/>
                      <w:szCs w:val="21"/>
                      <w:highlight w:val="none"/>
                    </w:rPr>
                    <w:t>邻近区：受事故影响的邻近区域人员及公众对毒物应急剂量控制规定，撤离组织及救护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w:t>
                  </w:r>
                </w:p>
              </w:tc>
              <w:tc>
                <w:tcPr>
                  <w:tcW w:w="163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应急状态终止与恢复措施</w:t>
                  </w:r>
                </w:p>
              </w:tc>
              <w:tc>
                <w:tcPr>
                  <w:tcW w:w="5737"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规定应急状态终止</w:t>
                  </w:r>
                  <w:r>
                    <w:rPr>
                      <w:rFonts w:hint="default" w:ascii="Times New Roman" w:hAnsi="Times New Roman" w:eastAsia="宋体" w:cs="Times New Roman"/>
                      <w:color w:val="auto"/>
                      <w:sz w:val="21"/>
                      <w:szCs w:val="21"/>
                      <w:highlight w:val="none"/>
                      <w:lang w:eastAsia="zh-CN"/>
                    </w:rPr>
                    <w:t>程序</w:t>
                  </w:r>
                  <w:r>
                    <w:rPr>
                      <w:rFonts w:hint="default" w:ascii="Times New Roman" w:hAnsi="Times New Roman" w:eastAsia="宋体" w:cs="Times New Roman"/>
                      <w:color w:val="auto"/>
                      <w:sz w:val="21"/>
                      <w:szCs w:val="21"/>
                      <w:highlight w:val="none"/>
                    </w:rPr>
                    <w:t>：事故善后处理，恢复措施，邻近区域解除事故警戒及善后恢复措施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w:t>
                  </w:r>
                </w:p>
              </w:tc>
              <w:tc>
                <w:tcPr>
                  <w:tcW w:w="163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人员培训与演练</w:t>
                  </w:r>
                </w:p>
              </w:tc>
              <w:tc>
                <w:tcPr>
                  <w:tcW w:w="5737"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应急计划制定后，平时安排人员培训及演练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w:t>
                  </w:r>
                </w:p>
              </w:tc>
              <w:tc>
                <w:tcPr>
                  <w:tcW w:w="163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公众教育和信息</w:t>
                  </w:r>
                </w:p>
              </w:tc>
              <w:tc>
                <w:tcPr>
                  <w:tcW w:w="5737"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对工</w:t>
                  </w:r>
                  <w:r>
                    <w:rPr>
                      <w:rFonts w:hint="default" w:ascii="Times New Roman" w:hAnsi="Times New Roman" w:eastAsia="宋体" w:cs="Times New Roman"/>
                      <w:color w:val="auto"/>
                      <w:sz w:val="21"/>
                      <w:szCs w:val="21"/>
                      <w:highlight w:val="none"/>
                      <w:lang w:val="en-US" w:eastAsia="zh-CN"/>
                    </w:rPr>
                    <w:t>厂</w:t>
                  </w:r>
                  <w:r>
                    <w:rPr>
                      <w:rFonts w:hint="default" w:ascii="Times New Roman" w:hAnsi="Times New Roman" w:eastAsia="宋体" w:cs="Times New Roman"/>
                      <w:color w:val="auto"/>
                      <w:sz w:val="21"/>
                      <w:szCs w:val="21"/>
                      <w:highlight w:val="none"/>
                    </w:rPr>
                    <w:t>邻近地区开展公众教育、培训与发布相关信息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w:t>
                  </w:r>
                </w:p>
              </w:tc>
              <w:tc>
                <w:tcPr>
                  <w:tcW w:w="163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记录和报告</w:t>
                  </w:r>
                </w:p>
              </w:tc>
              <w:tc>
                <w:tcPr>
                  <w:tcW w:w="5737"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设置应急事故专门记录，建立档案和专门报告制度，设专门</w:t>
                  </w:r>
                  <w:r>
                    <w:rPr>
                      <w:rFonts w:hint="default" w:ascii="Times New Roman" w:hAnsi="Times New Roman" w:eastAsia="宋体" w:cs="Times New Roman"/>
                      <w:color w:val="auto"/>
                      <w:sz w:val="21"/>
                      <w:szCs w:val="21"/>
                      <w:highlight w:val="none"/>
                      <w:lang w:eastAsia="zh-CN"/>
                    </w:rPr>
                    <w:t>部门</w:t>
                  </w:r>
                  <w:r>
                    <w:rPr>
                      <w:rFonts w:hint="default" w:ascii="Times New Roman" w:hAnsi="Times New Roman" w:eastAsia="宋体" w:cs="Times New Roman"/>
                      <w:color w:val="auto"/>
                      <w:sz w:val="21"/>
                      <w:szCs w:val="21"/>
                      <w:highlight w:val="none"/>
                    </w:rPr>
                    <w:t>负责管理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c>
                <w:tcPr>
                  <w:tcW w:w="163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附件</w:t>
                  </w:r>
                </w:p>
              </w:tc>
              <w:tc>
                <w:tcPr>
                  <w:tcW w:w="5737"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与应急事故有关的多种附件材料的准备和形成</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lang w:val="en-US" w:eastAsia="zh-CN"/>
              </w:rPr>
              <w:t>7、</w:t>
            </w:r>
            <w:r>
              <w:rPr>
                <w:rFonts w:hint="default" w:ascii="Times New Roman" w:hAnsi="Times New Roman" w:eastAsia="宋体" w:cs="Times New Roman"/>
                <w:b/>
                <w:bCs/>
                <w:color w:val="auto"/>
                <w:sz w:val="24"/>
                <w:szCs w:val="24"/>
                <w:highlight w:val="none"/>
                <w:lang w:eastAsia="zh-CN"/>
              </w:rPr>
              <w:t>环保投资和“三同时”验收</w:t>
            </w:r>
          </w:p>
          <w:p>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leftChars="0" w:right="0" w:rightChars="0" w:firstLine="480" w:firstLineChars="200"/>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Cs/>
                <w:color w:val="auto"/>
                <w:sz w:val="24"/>
                <w:szCs w:val="24"/>
                <w:highlight w:val="none"/>
                <w:lang w:eastAsia="zh-CN"/>
              </w:rPr>
              <w:t>改建项目总投资</w:t>
            </w:r>
            <w:r>
              <w:rPr>
                <w:rFonts w:hint="default" w:ascii="Times New Roman" w:hAnsi="Times New Roman" w:eastAsia="宋体" w:cs="Times New Roman"/>
                <w:bCs/>
                <w:color w:val="auto"/>
                <w:sz w:val="24"/>
                <w:szCs w:val="24"/>
                <w:highlight w:val="none"/>
                <w:lang w:val="en-US" w:eastAsia="zh-CN"/>
              </w:rPr>
              <w:t>100</w:t>
            </w:r>
            <w:r>
              <w:rPr>
                <w:rFonts w:hint="default" w:ascii="Times New Roman" w:hAnsi="Times New Roman" w:eastAsia="宋体" w:cs="Times New Roman"/>
                <w:bCs/>
                <w:color w:val="auto"/>
                <w:sz w:val="24"/>
                <w:szCs w:val="24"/>
                <w:highlight w:val="none"/>
                <w:lang w:eastAsia="zh-CN"/>
              </w:rPr>
              <w:t>万元，</w:t>
            </w:r>
            <w:r>
              <w:rPr>
                <w:rFonts w:hint="default" w:ascii="Times New Roman" w:hAnsi="Times New Roman" w:eastAsia="宋体" w:cs="Times New Roman"/>
                <w:bCs/>
                <w:color w:val="auto"/>
                <w:sz w:val="24"/>
                <w:szCs w:val="24"/>
                <w:highlight w:val="none"/>
              </w:rPr>
              <w:t>环保</w:t>
            </w:r>
            <w:r>
              <w:rPr>
                <w:rFonts w:hint="default" w:ascii="Times New Roman" w:hAnsi="Times New Roman" w:eastAsia="宋体" w:cs="Times New Roman"/>
                <w:bCs/>
                <w:color w:val="auto"/>
                <w:sz w:val="24"/>
                <w:szCs w:val="24"/>
                <w:highlight w:val="none"/>
                <w:lang w:eastAsia="zh-CN"/>
              </w:rPr>
              <w:t>投资</w:t>
            </w:r>
            <w:r>
              <w:rPr>
                <w:rFonts w:hint="default" w:ascii="Times New Roman" w:hAnsi="Times New Roman" w:eastAsia="宋体" w:cs="Times New Roman"/>
                <w:bCs/>
                <w:color w:val="auto"/>
                <w:sz w:val="24"/>
                <w:szCs w:val="24"/>
                <w:highlight w:val="none"/>
              </w:rPr>
              <w:t>约</w:t>
            </w:r>
            <w:r>
              <w:rPr>
                <w:rFonts w:hint="default" w:ascii="Times New Roman" w:hAnsi="Times New Roman" w:eastAsia="宋体" w:cs="Times New Roman"/>
                <w:color w:val="auto"/>
                <w:sz w:val="24"/>
                <w:szCs w:val="24"/>
                <w:highlight w:val="none"/>
                <w:lang w:val="en-US" w:eastAsia="zh-CN"/>
              </w:rPr>
              <w:t>16.5</w:t>
            </w:r>
            <w:r>
              <w:rPr>
                <w:rFonts w:hint="default" w:ascii="Times New Roman" w:hAnsi="Times New Roman" w:eastAsia="宋体" w:cs="Times New Roman"/>
                <w:bCs/>
                <w:color w:val="auto"/>
                <w:sz w:val="24"/>
                <w:szCs w:val="24"/>
                <w:highlight w:val="none"/>
              </w:rPr>
              <w:t>万元，约占总投资额的</w:t>
            </w:r>
            <w:r>
              <w:rPr>
                <w:rFonts w:hint="default" w:ascii="Times New Roman" w:hAnsi="Times New Roman" w:eastAsia="宋体" w:cs="Times New Roman"/>
                <w:color w:val="auto"/>
                <w:sz w:val="24"/>
                <w:szCs w:val="24"/>
                <w:highlight w:val="none"/>
                <w:lang w:val="en-US" w:eastAsia="zh-CN"/>
              </w:rPr>
              <w:t>16.5</w:t>
            </w:r>
            <w:r>
              <w:rPr>
                <w:rFonts w:hint="default" w:ascii="Times New Roman" w:hAnsi="Times New Roman" w:eastAsia="宋体" w:cs="Times New Roman"/>
                <w:bCs/>
                <w:color w:val="auto"/>
                <w:sz w:val="24"/>
                <w:szCs w:val="24"/>
                <w:highlight w:val="none"/>
              </w:rPr>
              <w:t>%，具体环保</w:t>
            </w:r>
            <w:r>
              <w:rPr>
                <w:rFonts w:hint="default" w:ascii="Times New Roman" w:hAnsi="Times New Roman" w:eastAsia="宋体" w:cs="Times New Roman"/>
                <w:bCs/>
                <w:color w:val="auto"/>
                <w:sz w:val="24"/>
                <w:szCs w:val="24"/>
                <w:highlight w:val="none"/>
                <w:lang w:eastAsia="zh-CN"/>
              </w:rPr>
              <w:t>投资</w:t>
            </w:r>
            <w:r>
              <w:rPr>
                <w:rFonts w:hint="default" w:ascii="Times New Roman" w:hAnsi="Times New Roman" w:eastAsia="宋体" w:cs="Times New Roman"/>
                <w:bCs/>
                <w:color w:val="auto"/>
                <w:sz w:val="24"/>
                <w:szCs w:val="24"/>
                <w:highlight w:val="none"/>
              </w:rPr>
              <w:t>估算见表</w:t>
            </w:r>
            <w:r>
              <w:rPr>
                <w:rFonts w:hint="default" w:ascii="Times New Roman" w:hAnsi="Times New Roman" w:eastAsia="宋体" w:cs="Times New Roman"/>
                <w:bCs/>
                <w:color w:val="auto"/>
                <w:sz w:val="24"/>
                <w:szCs w:val="24"/>
                <w:highlight w:val="none"/>
                <w:lang w:val="en-US" w:eastAsia="zh-CN"/>
              </w:rPr>
              <w:t>4-12，“三同时”验收一览表见表4-13</w:t>
            </w:r>
            <w:r>
              <w:rPr>
                <w:rFonts w:hint="default" w:ascii="Times New Roman" w:hAnsi="Times New Roman" w:eastAsia="宋体" w:cs="Times New Roman"/>
                <w:bCs/>
                <w:color w:val="auto"/>
                <w:sz w:val="24"/>
                <w:szCs w:val="24"/>
                <w:highlight w:val="none"/>
              </w:rPr>
              <w:t>。</w:t>
            </w:r>
          </w:p>
          <w:p>
            <w:pPr>
              <w:keepNext w:val="0"/>
              <w:keepLines w:val="0"/>
              <w:suppressLineNumbers w:val="0"/>
              <w:kinsoku/>
              <w:wordWrap/>
              <w:bidi w:val="0"/>
              <w:snapToGrid w:val="0"/>
              <w:spacing w:beforeAutospacing="0" w:afterAutospacing="0" w:line="360" w:lineRule="auto"/>
              <w:ind w:left="0" w:leftChars="0" w:right="0" w:rightChars="0" w:firstLine="0" w:firstLineChars="0"/>
              <w:jc w:val="center"/>
              <w:rPr>
                <w:rFonts w:hint="default" w:ascii="Times New Roman" w:hAnsi="Times New Roman" w:eastAsia="宋体" w:cs="Times New Roman"/>
                <w:b/>
                <w:color w:val="auto"/>
                <w:spacing w:val="6"/>
                <w:sz w:val="24"/>
                <w:highlight w:val="none"/>
              </w:rPr>
            </w:pPr>
            <w:r>
              <w:rPr>
                <w:rFonts w:hint="default" w:ascii="Times New Roman" w:hAnsi="Times New Roman" w:eastAsia="宋体" w:cs="Times New Roman"/>
                <w:b/>
                <w:color w:val="auto"/>
                <w:sz w:val="24"/>
                <w:highlight w:val="none"/>
              </w:rPr>
              <w:t>表</w:t>
            </w:r>
            <w:r>
              <w:rPr>
                <w:rFonts w:hint="default" w:ascii="Times New Roman" w:hAnsi="Times New Roman" w:eastAsia="宋体" w:cs="Times New Roman"/>
                <w:b/>
                <w:color w:val="auto"/>
                <w:sz w:val="24"/>
                <w:highlight w:val="none"/>
                <w:lang w:val="en-US" w:eastAsia="zh-CN"/>
              </w:rPr>
              <w:t xml:space="preserve">4-12  </w:t>
            </w:r>
            <w:r>
              <w:rPr>
                <w:rFonts w:hint="default" w:ascii="Times New Roman" w:hAnsi="Times New Roman" w:eastAsia="宋体" w:cs="Times New Roman"/>
                <w:b/>
                <w:color w:val="auto"/>
                <w:spacing w:val="6"/>
                <w:sz w:val="24"/>
                <w:highlight w:val="none"/>
              </w:rPr>
              <w:t>建设项目环境保护投资一览表</w:t>
            </w:r>
          </w:p>
          <w:tbl>
            <w:tblPr>
              <w:tblStyle w:val="19"/>
              <w:tblW w:w="81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0"/>
              <w:gridCol w:w="1755"/>
              <w:gridCol w:w="3564"/>
              <w:gridCol w:w="20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1755"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项目名称及内容</w:t>
                  </w:r>
                </w:p>
              </w:tc>
              <w:tc>
                <w:tcPr>
                  <w:tcW w:w="3564"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处理方法</w:t>
                  </w:r>
                </w:p>
              </w:tc>
              <w:tc>
                <w:tcPr>
                  <w:tcW w:w="2028"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投资估算</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w:t>
                  </w:r>
                </w:p>
              </w:tc>
              <w:tc>
                <w:tcPr>
                  <w:tcW w:w="1755"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废气治理</w:t>
                  </w:r>
                </w:p>
              </w:tc>
              <w:tc>
                <w:tcPr>
                  <w:tcW w:w="3564"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旋风除尘器</w:t>
                  </w:r>
                </w:p>
              </w:tc>
              <w:tc>
                <w:tcPr>
                  <w:tcW w:w="2028"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w:t>
                  </w:r>
                </w:p>
              </w:tc>
              <w:tc>
                <w:tcPr>
                  <w:tcW w:w="1755"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eastAsia="zh-CN"/>
                    </w:rPr>
                  </w:pPr>
                </w:p>
              </w:tc>
              <w:tc>
                <w:tcPr>
                  <w:tcW w:w="3564"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布袋除尘器</w:t>
                  </w:r>
                </w:p>
              </w:tc>
              <w:tc>
                <w:tcPr>
                  <w:tcW w:w="2028"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w:t>
                  </w:r>
                </w:p>
              </w:tc>
              <w:tc>
                <w:tcPr>
                  <w:tcW w:w="1755"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eastAsia="zh-CN"/>
                    </w:rPr>
                  </w:pPr>
                </w:p>
              </w:tc>
              <w:tc>
                <w:tcPr>
                  <w:tcW w:w="3564"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双碱法脱硫塔</w:t>
                  </w:r>
                </w:p>
              </w:tc>
              <w:tc>
                <w:tcPr>
                  <w:tcW w:w="2028"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w:t>
                  </w:r>
                </w:p>
              </w:tc>
              <w:tc>
                <w:tcPr>
                  <w:tcW w:w="1755"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3564"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40m排气筒</w:t>
                  </w:r>
                </w:p>
              </w:tc>
              <w:tc>
                <w:tcPr>
                  <w:tcW w:w="2028"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w:t>
                  </w:r>
                </w:p>
              </w:tc>
              <w:tc>
                <w:tcPr>
                  <w:tcW w:w="1755"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3564"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全封闭燃料库</w:t>
                  </w:r>
                </w:p>
              </w:tc>
              <w:tc>
                <w:tcPr>
                  <w:tcW w:w="2028"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6</w:t>
                  </w:r>
                </w:p>
              </w:tc>
              <w:tc>
                <w:tcPr>
                  <w:tcW w:w="1755"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噪声治理</w:t>
                  </w:r>
                </w:p>
              </w:tc>
              <w:tc>
                <w:tcPr>
                  <w:tcW w:w="3564"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采取减振垫、隔声措施</w:t>
                  </w:r>
                </w:p>
              </w:tc>
              <w:tc>
                <w:tcPr>
                  <w:tcW w:w="2028"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w:t>
                  </w:r>
                </w:p>
              </w:tc>
              <w:tc>
                <w:tcPr>
                  <w:tcW w:w="1755"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废水</w:t>
                  </w:r>
                </w:p>
              </w:tc>
              <w:tc>
                <w:tcPr>
                  <w:tcW w:w="3564"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三级沉淀池</w:t>
                  </w:r>
                </w:p>
              </w:tc>
              <w:tc>
                <w:tcPr>
                  <w:tcW w:w="2028"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w:t>
                  </w:r>
                </w:p>
              </w:tc>
              <w:tc>
                <w:tcPr>
                  <w:tcW w:w="1755"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固废治理</w:t>
                  </w:r>
                </w:p>
              </w:tc>
              <w:tc>
                <w:tcPr>
                  <w:tcW w:w="3564"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全封闭</w:t>
                  </w:r>
                  <w:r>
                    <w:rPr>
                      <w:rFonts w:hint="default" w:ascii="Times New Roman" w:hAnsi="Times New Roman" w:eastAsia="宋体" w:cs="Times New Roman"/>
                      <w:color w:val="auto"/>
                      <w:sz w:val="21"/>
                      <w:szCs w:val="21"/>
                      <w:highlight w:val="none"/>
                    </w:rPr>
                    <w:t>灰渣</w:t>
                  </w:r>
                  <w:r>
                    <w:rPr>
                      <w:rFonts w:hint="default" w:ascii="Times New Roman" w:hAnsi="Times New Roman" w:eastAsia="宋体" w:cs="Times New Roman"/>
                      <w:color w:val="auto"/>
                      <w:sz w:val="21"/>
                      <w:szCs w:val="21"/>
                      <w:highlight w:val="none"/>
                      <w:lang w:eastAsia="zh-CN"/>
                    </w:rPr>
                    <w:t>库</w:t>
                  </w:r>
                </w:p>
              </w:tc>
              <w:tc>
                <w:tcPr>
                  <w:tcW w:w="2028"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79" w:type="dxa"/>
                  <w:gridSpan w:val="3"/>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合计</w:t>
                  </w:r>
                </w:p>
              </w:tc>
              <w:tc>
                <w:tcPr>
                  <w:tcW w:w="2028"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16.5</w:t>
                  </w:r>
                </w:p>
              </w:tc>
            </w:tr>
          </w:tbl>
          <w:p>
            <w:pPr>
              <w:kinsoku/>
              <w:wordWrap/>
              <w:bidi w:val="0"/>
              <w:adjustRightInd w:val="0"/>
              <w:snapToGrid w:val="0"/>
              <w:spacing w:line="360" w:lineRule="auto"/>
              <w:ind w:left="0" w:leftChars="0" w:right="0" w:rightChars="0" w:firstLine="0" w:firstLine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w:t>
            </w:r>
            <w:r>
              <w:rPr>
                <w:rFonts w:hint="default" w:ascii="Times New Roman" w:hAnsi="Times New Roman" w:eastAsia="宋体" w:cs="Times New Roman"/>
                <w:b/>
                <w:bCs/>
                <w:color w:val="auto"/>
                <w:sz w:val="24"/>
                <w:highlight w:val="none"/>
                <w:lang w:val="en-US" w:eastAsia="zh-CN"/>
              </w:rPr>
              <w:t xml:space="preserve">4-13  </w:t>
            </w:r>
            <w:r>
              <w:rPr>
                <w:rFonts w:hint="default" w:ascii="Times New Roman" w:hAnsi="Times New Roman" w:eastAsia="宋体" w:cs="Times New Roman"/>
                <w:b/>
                <w:bCs/>
                <w:color w:val="auto"/>
                <w:sz w:val="24"/>
                <w:highlight w:val="none"/>
              </w:rPr>
              <w:t>环境保护“三同时”验收一览表</w:t>
            </w:r>
          </w:p>
          <w:tbl>
            <w:tblPr>
              <w:tblStyle w:val="19"/>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1"/>
              <w:gridCol w:w="992"/>
              <w:gridCol w:w="1762"/>
              <w:gridCol w:w="1018"/>
              <w:gridCol w:w="1020"/>
              <w:gridCol w:w="1072"/>
              <w:gridCol w:w="16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治理项目</w:t>
                  </w:r>
                </w:p>
              </w:tc>
              <w:tc>
                <w:tcPr>
                  <w:tcW w:w="99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污染源</w:t>
                  </w:r>
                </w:p>
              </w:tc>
              <w:tc>
                <w:tcPr>
                  <w:tcW w:w="176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环保设施名称</w:t>
                  </w:r>
                </w:p>
              </w:tc>
              <w:tc>
                <w:tcPr>
                  <w:tcW w:w="1018"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监测点位</w:t>
                  </w:r>
                </w:p>
              </w:tc>
              <w:tc>
                <w:tcPr>
                  <w:tcW w:w="1020"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监测频次</w:t>
                  </w:r>
                </w:p>
              </w:tc>
              <w:tc>
                <w:tcPr>
                  <w:tcW w:w="107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验收监测因子</w:t>
                  </w:r>
                </w:p>
              </w:tc>
              <w:tc>
                <w:tcPr>
                  <w:tcW w:w="1685"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验收标准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tc>
              <w:tc>
                <w:tcPr>
                  <w:tcW w:w="99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10t/h</w:t>
                  </w:r>
                  <w:r>
                    <w:rPr>
                      <w:rFonts w:hint="default" w:ascii="Times New Roman" w:hAnsi="Times New Roman" w:eastAsia="宋体" w:cs="Times New Roman"/>
                      <w:color w:val="auto"/>
                      <w:sz w:val="21"/>
                      <w:szCs w:val="21"/>
                      <w:highlight w:val="none"/>
                      <w:lang w:eastAsia="zh-CN"/>
                    </w:rPr>
                    <w:t>生物质热水锅炉</w:t>
                  </w:r>
                </w:p>
              </w:tc>
              <w:tc>
                <w:tcPr>
                  <w:tcW w:w="176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旋风除尘器+布袋除尘器+双碱法脱硫塔+</w:t>
                  </w:r>
                  <w:r>
                    <w:rPr>
                      <w:rFonts w:hint="default" w:ascii="Times New Roman" w:hAnsi="Times New Roman" w:eastAsia="宋体" w:cs="Times New Roman"/>
                      <w:color w:val="auto"/>
                      <w:sz w:val="21"/>
                      <w:szCs w:val="21"/>
                      <w:highlight w:val="none"/>
                    </w:rPr>
                    <w:t>1根</w:t>
                  </w:r>
                  <w:r>
                    <w:rPr>
                      <w:rFonts w:hint="default" w:ascii="Times New Roman" w:hAnsi="Times New Roman" w:eastAsia="宋体" w:cs="Times New Roman"/>
                      <w:color w:val="auto"/>
                      <w:sz w:val="21"/>
                      <w:szCs w:val="21"/>
                      <w:highlight w:val="none"/>
                      <w:lang w:val="en-US" w:eastAsia="zh-CN"/>
                    </w:rPr>
                    <w:t>40m</w:t>
                  </w:r>
                  <w:r>
                    <w:rPr>
                      <w:rFonts w:hint="default" w:ascii="Times New Roman" w:hAnsi="Times New Roman" w:eastAsia="宋体" w:cs="Times New Roman"/>
                      <w:color w:val="auto"/>
                      <w:sz w:val="21"/>
                      <w:szCs w:val="21"/>
                      <w:highlight w:val="none"/>
                    </w:rPr>
                    <w:t>高排气筒</w:t>
                  </w:r>
                </w:p>
              </w:tc>
              <w:tc>
                <w:tcPr>
                  <w:tcW w:w="1018"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1根</w:t>
                  </w:r>
                  <w:r>
                    <w:rPr>
                      <w:rFonts w:hint="default" w:ascii="Times New Roman" w:hAnsi="Times New Roman" w:eastAsia="宋体" w:cs="Times New Roman"/>
                      <w:color w:val="auto"/>
                      <w:sz w:val="21"/>
                      <w:szCs w:val="21"/>
                      <w:highlight w:val="none"/>
                      <w:lang w:val="en-US" w:eastAsia="zh-CN"/>
                    </w:rPr>
                    <w:t>40m</w:t>
                  </w:r>
                  <w:r>
                    <w:rPr>
                      <w:rFonts w:hint="default" w:ascii="Times New Roman" w:hAnsi="Times New Roman" w:eastAsia="宋体" w:cs="Times New Roman"/>
                      <w:color w:val="auto"/>
                      <w:sz w:val="21"/>
                      <w:szCs w:val="21"/>
                      <w:highlight w:val="none"/>
                    </w:rPr>
                    <w:t>高的排气筒进口、出口</w:t>
                  </w:r>
                </w:p>
              </w:tc>
              <w:tc>
                <w:tcPr>
                  <w:tcW w:w="1020"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3次/d，共监测2天</w:t>
                  </w:r>
                </w:p>
              </w:tc>
              <w:tc>
                <w:tcPr>
                  <w:tcW w:w="107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X</w:t>
                  </w:r>
                  <w:r>
                    <w:rPr>
                      <w:rFonts w:hint="default" w:ascii="Times New Roman" w:hAnsi="Times New Roman" w:eastAsia="宋体" w:cs="Times New Roman"/>
                      <w:color w:val="auto"/>
                      <w:sz w:val="21"/>
                      <w:szCs w:val="21"/>
                      <w:highlight w:val="none"/>
                    </w:rPr>
                    <w:t>、颗粒物、汞及其化合物、林格曼黑度</w:t>
                  </w:r>
                </w:p>
              </w:tc>
              <w:tc>
                <w:tcPr>
                  <w:tcW w:w="1685"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《锅炉大气污染物排放标准》</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GB13271-2014）表2新建锅炉大气污染物排放浓度限值中</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燃煤锅炉</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的排放浓度限值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99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无组织</w:t>
                  </w:r>
                </w:p>
              </w:tc>
              <w:tc>
                <w:tcPr>
                  <w:tcW w:w="176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洒水降尘、全封闭</w:t>
                  </w:r>
                  <w:r>
                    <w:rPr>
                      <w:rFonts w:hint="default" w:ascii="Times New Roman" w:hAnsi="Times New Roman" w:eastAsia="宋体" w:cs="Times New Roman"/>
                      <w:color w:val="auto"/>
                      <w:sz w:val="21"/>
                      <w:szCs w:val="21"/>
                      <w:highlight w:val="none"/>
                      <w:lang w:val="en-US" w:eastAsia="zh-CN"/>
                    </w:rPr>
                    <w:t>灰渣库、全封闭燃料库</w:t>
                  </w:r>
                </w:p>
              </w:tc>
              <w:tc>
                <w:tcPr>
                  <w:tcW w:w="1018"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厂界上风向1个点位、下风向3个点位</w:t>
                  </w:r>
                </w:p>
              </w:tc>
              <w:tc>
                <w:tcPr>
                  <w:tcW w:w="1020"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4次/d，共监测2天</w:t>
                  </w:r>
                </w:p>
              </w:tc>
              <w:tc>
                <w:tcPr>
                  <w:tcW w:w="107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1685" w:type="dxa"/>
                  <w:tcBorders>
                    <w:tl2br w:val="nil"/>
                    <w:tr2bl w:val="nil"/>
                  </w:tcBorders>
                  <w:vAlign w:val="center"/>
                </w:tcPr>
                <w:p>
                  <w:pPr>
                    <w:keepNext w:val="0"/>
                    <w:keepLines w:val="0"/>
                    <w:pageBreakBefore w:val="0"/>
                    <w:kinsoku/>
                    <w:wordWrap/>
                    <w:overflowPunct/>
                    <w:topLinePunct w:val="0"/>
                    <w:autoSpaceDE/>
                    <w:autoSpaceDN/>
                    <w:bidi w:val="0"/>
                    <w:adjustRightInd/>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《大气污染物综合排放标准》</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GB16297-1996）表2新污染源大气污染物排放限值中“无组织排放监控浓度限值”1.0mg/m</w:t>
                  </w:r>
                  <w:r>
                    <w:rPr>
                      <w:rFonts w:hint="default" w:ascii="Times New Roman" w:hAnsi="Times New Roman" w:eastAsia="宋体" w:cs="Times New Roman"/>
                      <w:color w:val="auto"/>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w:t>
                  </w:r>
                </w:p>
              </w:tc>
              <w:tc>
                <w:tcPr>
                  <w:tcW w:w="99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锅炉定期排污水</w:t>
                  </w:r>
                </w:p>
              </w:tc>
              <w:tc>
                <w:tcPr>
                  <w:tcW w:w="176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用于灰渣库抑尘、空地降尘洒水</w:t>
                  </w:r>
                </w:p>
              </w:tc>
              <w:tc>
                <w:tcPr>
                  <w:tcW w:w="1018"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20"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7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685"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99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软水制备废水</w:t>
                  </w:r>
                </w:p>
              </w:tc>
              <w:tc>
                <w:tcPr>
                  <w:tcW w:w="176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用于灰渣库抑尘、空地降尘洒水</w:t>
                  </w:r>
                </w:p>
              </w:tc>
              <w:tc>
                <w:tcPr>
                  <w:tcW w:w="1018"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1020"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107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1685"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99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脱硫塔废水</w:t>
                  </w:r>
                </w:p>
              </w:tc>
              <w:tc>
                <w:tcPr>
                  <w:tcW w:w="176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循环使用，不外排</w:t>
                  </w:r>
                </w:p>
              </w:tc>
              <w:tc>
                <w:tcPr>
                  <w:tcW w:w="1018"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1020"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107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c>
                <w:tcPr>
                  <w:tcW w:w="1685"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99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设备噪声</w:t>
                  </w:r>
                </w:p>
              </w:tc>
              <w:tc>
                <w:tcPr>
                  <w:tcW w:w="176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隔声、减震</w:t>
                  </w:r>
                </w:p>
              </w:tc>
              <w:tc>
                <w:tcPr>
                  <w:tcW w:w="1018"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厂界四周</w:t>
                  </w:r>
                </w:p>
              </w:tc>
              <w:tc>
                <w:tcPr>
                  <w:tcW w:w="1020"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昼夜各</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次，共监测2天</w:t>
                  </w:r>
                </w:p>
              </w:tc>
              <w:tc>
                <w:tcPr>
                  <w:tcW w:w="107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等效连续A声级</w:t>
                  </w:r>
                </w:p>
              </w:tc>
              <w:tc>
                <w:tcPr>
                  <w:tcW w:w="1685"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《工业企业厂界环境噪声排放标准》</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GB12348-2008）中2类标准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固废</w:t>
                  </w:r>
                </w:p>
              </w:tc>
              <w:tc>
                <w:tcPr>
                  <w:tcW w:w="99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炉渣</w:t>
                  </w:r>
                </w:p>
              </w:tc>
              <w:tc>
                <w:tcPr>
                  <w:tcW w:w="176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暂存于全封闭灰渣库内，定期作为肥料施用于周边农田</w:t>
                  </w:r>
                </w:p>
              </w:tc>
              <w:tc>
                <w:tcPr>
                  <w:tcW w:w="1018"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20"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7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685"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《一般工业固体废物贮存和填埋污染控制标准》</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GB18599-2020）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99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除尘灰</w:t>
                  </w:r>
                </w:p>
              </w:tc>
              <w:tc>
                <w:tcPr>
                  <w:tcW w:w="176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袋装后堆存于灰渣库内，定期外运周边农田施肥</w:t>
                  </w:r>
                </w:p>
              </w:tc>
              <w:tc>
                <w:tcPr>
                  <w:tcW w:w="1018"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20"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7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685"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99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脱硫石膏</w:t>
                  </w:r>
                </w:p>
              </w:tc>
              <w:tc>
                <w:tcPr>
                  <w:tcW w:w="176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堆存于封闭</w:t>
                  </w:r>
                  <w:r>
                    <w:rPr>
                      <w:rFonts w:hint="default" w:ascii="Times New Roman" w:hAnsi="Times New Roman" w:eastAsia="宋体" w:cs="Times New Roman"/>
                      <w:color w:val="auto"/>
                      <w:sz w:val="21"/>
                      <w:szCs w:val="21"/>
                      <w:highlight w:val="none"/>
                      <w:lang w:eastAsia="zh-CN"/>
                    </w:rPr>
                    <w:t>灰渣库</w:t>
                  </w:r>
                  <w:r>
                    <w:rPr>
                      <w:rFonts w:hint="default" w:ascii="Times New Roman" w:hAnsi="Times New Roman" w:eastAsia="宋体" w:cs="Times New Roman"/>
                      <w:color w:val="auto"/>
                      <w:sz w:val="21"/>
                      <w:szCs w:val="21"/>
                      <w:highlight w:val="none"/>
                    </w:rPr>
                    <w:t>内，最终</w:t>
                  </w:r>
                  <w:r>
                    <w:rPr>
                      <w:rFonts w:hint="default" w:ascii="Times New Roman" w:hAnsi="Times New Roman" w:eastAsia="宋体" w:cs="Times New Roman"/>
                      <w:color w:val="auto"/>
                      <w:sz w:val="21"/>
                      <w:szCs w:val="21"/>
                      <w:highlight w:val="none"/>
                      <w:lang w:eastAsia="zh-CN"/>
                    </w:rPr>
                    <w:t>外售</w:t>
                  </w:r>
                  <w:r>
                    <w:rPr>
                      <w:rFonts w:hint="default" w:ascii="Times New Roman" w:hAnsi="Times New Roman" w:eastAsia="宋体" w:cs="Times New Roman"/>
                      <w:color w:val="auto"/>
                      <w:sz w:val="21"/>
                      <w:szCs w:val="21"/>
                      <w:highlight w:val="none"/>
                    </w:rPr>
                    <w:t>建材公司综合利用</w:t>
                  </w:r>
                </w:p>
              </w:tc>
              <w:tc>
                <w:tcPr>
                  <w:tcW w:w="1018"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20"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7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685"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1"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99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废饱和树脂</w:t>
                  </w:r>
                </w:p>
              </w:tc>
              <w:tc>
                <w:tcPr>
                  <w:tcW w:w="176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由销售厂家直接回收，不在厂区内储存</w:t>
                  </w:r>
                </w:p>
              </w:tc>
              <w:tc>
                <w:tcPr>
                  <w:tcW w:w="1018"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20"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72" w:type="dxa"/>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685" w:type="dxa"/>
                  <w:vMerge w:val="continue"/>
                  <w:tcBorders>
                    <w:tl2br w:val="nil"/>
                    <w:tr2bl w:val="nil"/>
                  </w:tcBorders>
                  <w:vAlign w:val="center"/>
                </w:tcPr>
                <w:p>
                  <w:pPr>
                    <w:keepNext w:val="0"/>
                    <w:keepLines w:val="0"/>
                    <w:pageBreakBefore w:val="0"/>
                    <w:kinsoku/>
                    <w:wordWrap/>
                    <w:overflowPunct/>
                    <w:topLinePunct w:val="0"/>
                    <w:autoSpaceDE/>
                    <w:autoSpaceDN/>
                    <w:bidi w:val="0"/>
                    <w:adjustRightIn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bl>
          <w:p>
            <w:pPr>
              <w:pStyle w:val="35"/>
              <w:kinsoku/>
              <w:wordWrap/>
              <w:bidi w:val="0"/>
              <w:adjustRightInd w:val="0"/>
              <w:snapToGrid w:val="0"/>
              <w:spacing w:line="360" w:lineRule="auto"/>
              <w:ind w:left="0" w:leftChars="0" w:right="0" w:rightChars="0" w:firstLine="0" w:firstLineChars="0"/>
              <w:jc w:val="both"/>
              <w:rPr>
                <w:rFonts w:hint="default" w:ascii="Times New Roman" w:hAnsi="Times New Roman" w:eastAsia="宋体" w:cs="Times New Roman"/>
                <w:color w:val="auto"/>
                <w:highlight w:val="none"/>
                <w:lang w:val="en-US" w:eastAsia="zh-CN"/>
              </w:rPr>
            </w:pPr>
          </w:p>
        </w:tc>
      </w:tr>
    </w:tbl>
    <w:p>
      <w:pPr>
        <w:bidi w:val="0"/>
        <w:rPr>
          <w:rFonts w:hint="default"/>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6"/>
        <w:kinsoku/>
        <w:wordWrap/>
        <w:bidi w:val="0"/>
        <w:spacing w:line="360" w:lineRule="auto"/>
        <w:ind w:left="0" w:leftChars="0" w:right="0" w:rightChars="0" w:firstLine="0" w:firstLineChars="0"/>
        <w:rPr>
          <w:rFonts w:hint="default" w:ascii="Times New Roman" w:hAnsi="Times New Roman" w:eastAsia="宋体" w:cs="Times New Roman"/>
          <w:color w:val="auto"/>
          <w:highlight w:val="none"/>
        </w:rPr>
      </w:pPr>
      <w:bookmarkStart w:id="1" w:name="_Hlk54167917"/>
      <w:r>
        <w:rPr>
          <w:rFonts w:hint="default" w:ascii="Times New Roman" w:hAnsi="Times New Roman" w:eastAsia="宋体" w:cs="Times New Roman"/>
          <w:color w:val="auto"/>
          <w:highlight w:val="none"/>
        </w:rPr>
        <w:t>五、环境保护措施监督检查清单</w:t>
      </w:r>
      <w:bookmarkEnd w:id="1"/>
    </w:p>
    <w:tbl>
      <w:tblPr>
        <w:tblStyle w:val="19"/>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72"/>
        <w:gridCol w:w="1670"/>
        <w:gridCol w:w="1598"/>
        <w:gridCol w:w="2234"/>
        <w:gridCol w:w="239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72" w:type="dxa"/>
            <w:tcBorders>
              <w:tl2br w:val="single" w:color="auto" w:sz="4" w:space="0"/>
            </w:tcBorders>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right"/>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内容</w:t>
            </w:r>
          </w:p>
          <w:p>
            <w:pPr>
              <w:keepNext w:val="0"/>
              <w:keepLines w:val="0"/>
              <w:pageBreakBefore w:val="0"/>
              <w:widowControl w:val="0"/>
              <w:kinsoku/>
              <w:wordWrap/>
              <w:overflowPunct/>
              <w:topLinePunct w:val="0"/>
              <w:bidi w:val="0"/>
              <w:spacing w:line="240" w:lineRule="auto"/>
              <w:ind w:left="0" w:leftChars="0" w:right="0" w:rightChars="0" w:firstLine="0" w:firstLineChars="0"/>
              <w:jc w:val="left"/>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要素</w:t>
            </w:r>
          </w:p>
        </w:tc>
        <w:tc>
          <w:tcPr>
            <w:tcW w:w="1670"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排放口</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rPr>
              <w:t>编号、</w:t>
            </w:r>
          </w:p>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名称</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rPr>
              <w:t>/污染源</w:t>
            </w:r>
          </w:p>
        </w:tc>
        <w:tc>
          <w:tcPr>
            <w:tcW w:w="1598"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污染物项目</w:t>
            </w:r>
          </w:p>
        </w:tc>
        <w:tc>
          <w:tcPr>
            <w:tcW w:w="2234"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环境保护措施</w:t>
            </w:r>
          </w:p>
        </w:tc>
        <w:tc>
          <w:tcPr>
            <w:tcW w:w="2397"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72" w:type="dxa"/>
            <w:vMerge w:val="restart"/>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大气</w:t>
            </w:r>
          </w:p>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环境</w:t>
            </w:r>
          </w:p>
        </w:tc>
        <w:tc>
          <w:tcPr>
            <w:tcW w:w="1670"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生物质热水锅炉</w:t>
            </w:r>
          </w:p>
        </w:tc>
        <w:tc>
          <w:tcPr>
            <w:tcW w:w="1598"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sz w:val="24"/>
                <w:szCs w:val="24"/>
                <w:highlight w:val="none"/>
              </w:rPr>
              <w:t>颗粒物</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二氧化硫、氮氧化物、汞及其化合物、</w:t>
            </w:r>
            <w:r>
              <w:rPr>
                <w:rFonts w:hint="default" w:ascii="Times New Roman" w:hAnsi="Times New Roman" w:eastAsia="宋体" w:cs="Times New Roman"/>
                <w:b w:val="0"/>
                <w:bCs w:val="0"/>
                <w:color w:val="auto"/>
                <w:sz w:val="24"/>
                <w:szCs w:val="24"/>
                <w:highlight w:val="none"/>
                <w:lang w:val="en-US" w:eastAsia="zh-CN"/>
              </w:rPr>
              <w:t>烟气黑度</w:t>
            </w:r>
          </w:p>
        </w:tc>
        <w:tc>
          <w:tcPr>
            <w:tcW w:w="223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Cs/>
                <w:color w:val="auto"/>
                <w:spacing w:val="0"/>
                <w:sz w:val="24"/>
                <w:szCs w:val="24"/>
                <w:highlight w:val="none"/>
              </w:rPr>
              <w:t>旋风除尘器+布袋除尘器+双碱法脱硫塔</w:t>
            </w:r>
            <w:r>
              <w:rPr>
                <w:rFonts w:hint="default" w:ascii="Times New Roman" w:hAnsi="Times New Roman" w:eastAsia="宋体" w:cs="Times New Roman"/>
                <w:bCs/>
                <w:color w:val="auto"/>
                <w:spacing w:val="0"/>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40m排气筒</w:t>
            </w:r>
          </w:p>
        </w:tc>
        <w:tc>
          <w:tcPr>
            <w:tcW w:w="2397"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Cs/>
                <w:color w:val="auto"/>
                <w:sz w:val="24"/>
                <w:szCs w:val="24"/>
                <w:highlight w:val="none"/>
              </w:rPr>
              <w:t>《锅炉大气污染物排放标准》（GB13271-2014）表2新建锅炉大气污染物排放浓度限值中燃煤锅炉的排放浓度限值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72" w:type="dxa"/>
            <w:vMerge w:val="continue"/>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highlight w:val="none"/>
              </w:rPr>
            </w:pPr>
          </w:p>
        </w:tc>
        <w:tc>
          <w:tcPr>
            <w:tcW w:w="1670"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灰渣库</w:t>
            </w:r>
          </w:p>
        </w:tc>
        <w:tc>
          <w:tcPr>
            <w:tcW w:w="1598"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颗粒物</w:t>
            </w:r>
          </w:p>
        </w:tc>
        <w:tc>
          <w:tcPr>
            <w:tcW w:w="223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全封闭灰渣库+洒水降尘</w:t>
            </w:r>
          </w:p>
        </w:tc>
        <w:tc>
          <w:tcPr>
            <w:tcW w:w="2397" w:type="dxa"/>
            <w:vMerge w:val="restart"/>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pacing w:val="4"/>
                <w:sz w:val="24"/>
                <w:szCs w:val="24"/>
                <w:highlight w:val="none"/>
              </w:rPr>
              <w:t>《大气污染物综合排放限值标准》（GB16297-1996）表2新污染源大气污染物排放限值</w:t>
            </w:r>
            <w:r>
              <w:rPr>
                <w:rFonts w:hint="default" w:ascii="Times New Roman" w:hAnsi="Times New Roman" w:eastAsia="宋体" w:cs="Times New Roman"/>
                <w:color w:val="auto"/>
                <w:spacing w:val="4"/>
                <w:sz w:val="24"/>
                <w:szCs w:val="24"/>
                <w:highlight w:val="none"/>
                <w:lang w:eastAsia="zh-CN"/>
              </w:rPr>
              <w:t>中</w:t>
            </w:r>
            <w:r>
              <w:rPr>
                <w:rFonts w:hint="default" w:ascii="Times New Roman" w:hAnsi="Times New Roman" w:eastAsia="宋体" w:cs="Times New Roman"/>
                <w:color w:val="auto"/>
                <w:spacing w:val="4"/>
                <w:sz w:val="24"/>
                <w:szCs w:val="24"/>
                <w:highlight w:val="none"/>
              </w:rPr>
              <w:t>无组织排放监控浓度限值</w:t>
            </w:r>
            <w:r>
              <w:rPr>
                <w:rFonts w:hint="default" w:ascii="Times New Roman" w:hAnsi="Times New Roman" w:eastAsia="宋体" w:cs="Times New Roman"/>
                <w:color w:val="auto"/>
                <w:spacing w:val="4"/>
                <w:sz w:val="24"/>
                <w:szCs w:val="24"/>
                <w:highlight w:val="none"/>
                <w:lang w:val="en-US" w:eastAsia="zh-CN"/>
              </w:rPr>
              <w:t>1.0</w:t>
            </w:r>
            <w:r>
              <w:rPr>
                <w:rFonts w:hint="default" w:ascii="Times New Roman" w:hAnsi="Times New Roman" w:eastAsia="宋体" w:cs="Times New Roman"/>
                <w:b w:val="0"/>
                <w:bCs w:val="0"/>
                <w:color w:val="auto"/>
                <w:sz w:val="24"/>
                <w:szCs w:val="24"/>
                <w:highlight w:val="none"/>
                <w:lang w:val="en-US" w:eastAsia="zh-CN"/>
              </w:rPr>
              <w:t>mg/m</w:t>
            </w:r>
            <w:r>
              <w:rPr>
                <w:rFonts w:hint="default" w:ascii="Times New Roman" w:hAnsi="Times New Roman" w:eastAsia="宋体" w:cs="Times New Roman"/>
                <w:b w:val="0"/>
                <w:bCs w:val="0"/>
                <w:color w:val="auto"/>
                <w:sz w:val="24"/>
                <w:szCs w:val="24"/>
                <w:highlight w:val="none"/>
                <w:vertAlign w:val="superscript"/>
                <w:lang w:val="en-US" w:eastAsia="zh-CN"/>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72" w:type="dxa"/>
            <w:vMerge w:val="continue"/>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highlight w:val="none"/>
              </w:rPr>
            </w:pPr>
          </w:p>
        </w:tc>
        <w:tc>
          <w:tcPr>
            <w:tcW w:w="1670"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eastAsia="zh-CN"/>
              </w:rPr>
              <w:t>燃料库</w:t>
            </w:r>
          </w:p>
        </w:tc>
        <w:tc>
          <w:tcPr>
            <w:tcW w:w="1598"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颗粒物</w:t>
            </w:r>
          </w:p>
        </w:tc>
        <w:tc>
          <w:tcPr>
            <w:tcW w:w="223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全封闭燃料库</w:t>
            </w:r>
          </w:p>
        </w:tc>
        <w:tc>
          <w:tcPr>
            <w:tcW w:w="2397" w:type="dxa"/>
            <w:vMerge w:val="continue"/>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72" w:type="dxa"/>
            <w:vMerge w:val="restart"/>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水环境</w:t>
            </w:r>
          </w:p>
        </w:tc>
        <w:tc>
          <w:tcPr>
            <w:tcW w:w="1670"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eastAsia="zh-CN"/>
              </w:rPr>
              <w:t>生物质热水锅炉</w:t>
            </w:r>
          </w:p>
        </w:tc>
        <w:tc>
          <w:tcPr>
            <w:tcW w:w="1598"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锅炉定期排污水</w:t>
            </w:r>
          </w:p>
        </w:tc>
        <w:tc>
          <w:tcPr>
            <w:tcW w:w="2234"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用于灰渣库抑尘、空地降尘洒水</w:t>
            </w:r>
          </w:p>
        </w:tc>
        <w:tc>
          <w:tcPr>
            <w:tcW w:w="2397" w:type="dxa"/>
            <w:vMerge w:val="restart"/>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72" w:type="dxa"/>
            <w:vMerge w:val="continue"/>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p>
        </w:tc>
        <w:tc>
          <w:tcPr>
            <w:tcW w:w="1670"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eastAsia="zh-CN"/>
              </w:rPr>
              <w:t>软水制备设施</w:t>
            </w:r>
          </w:p>
        </w:tc>
        <w:tc>
          <w:tcPr>
            <w:tcW w:w="1598"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软水制备废水</w:t>
            </w:r>
          </w:p>
        </w:tc>
        <w:tc>
          <w:tcPr>
            <w:tcW w:w="2234"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用于灰渣库抑尘、空地降尘洒水</w:t>
            </w:r>
          </w:p>
        </w:tc>
        <w:tc>
          <w:tcPr>
            <w:tcW w:w="2397" w:type="dxa"/>
            <w:vMerge w:val="continue"/>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72" w:type="dxa"/>
            <w:vMerge w:val="continue"/>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p>
        </w:tc>
        <w:tc>
          <w:tcPr>
            <w:tcW w:w="1670"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双碱法脱硫塔</w:t>
            </w:r>
          </w:p>
        </w:tc>
        <w:tc>
          <w:tcPr>
            <w:tcW w:w="1598"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脱硫塔废水</w:t>
            </w:r>
          </w:p>
        </w:tc>
        <w:tc>
          <w:tcPr>
            <w:tcW w:w="2234"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循环使用，不外排</w:t>
            </w:r>
          </w:p>
        </w:tc>
        <w:tc>
          <w:tcPr>
            <w:tcW w:w="2397" w:type="dxa"/>
            <w:vMerge w:val="continue"/>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72"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声环境</w:t>
            </w:r>
          </w:p>
        </w:tc>
        <w:tc>
          <w:tcPr>
            <w:tcW w:w="1670" w:type="dxa"/>
            <w:vAlign w:val="center"/>
          </w:tcPr>
          <w:p>
            <w:pPr>
              <w:keepNext w:val="0"/>
              <w:keepLines w:val="0"/>
              <w:pageBreakBefore w:val="0"/>
              <w:widowControl w:val="0"/>
              <w:kinsoku/>
              <w:wordWrap/>
              <w:overflowPunct/>
              <w:topLinePunct w:val="0"/>
              <w:bidi w:val="0"/>
              <w:adjustRightInd/>
              <w:snapToGrid/>
              <w:spacing w:line="240" w:lineRule="auto"/>
              <w:ind w:left="0" w:leftChars="0" w:right="0" w:rightChars="0" w:firstLine="0" w:firstLineChars="0"/>
              <w:textAlignment w:val="auto"/>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sz w:val="24"/>
                <w:szCs w:val="24"/>
                <w:highlight w:val="none"/>
              </w:rPr>
              <w:t>给水泵、</w:t>
            </w:r>
            <w:r>
              <w:rPr>
                <w:rFonts w:hint="default" w:ascii="Times New Roman" w:hAnsi="Times New Roman" w:eastAsia="宋体" w:cs="Times New Roman"/>
                <w:color w:val="auto"/>
                <w:sz w:val="24"/>
                <w:szCs w:val="24"/>
                <w:highlight w:val="none"/>
                <w:lang w:eastAsia="zh-CN"/>
              </w:rPr>
              <w:t>循环水</w:t>
            </w:r>
            <w:r>
              <w:rPr>
                <w:rFonts w:hint="default" w:ascii="Times New Roman" w:hAnsi="Times New Roman" w:eastAsia="宋体" w:cs="Times New Roman"/>
                <w:color w:val="auto"/>
                <w:sz w:val="24"/>
                <w:szCs w:val="24"/>
                <w:highlight w:val="none"/>
              </w:rPr>
              <w:t>泵、风机</w:t>
            </w:r>
            <w:r>
              <w:rPr>
                <w:rFonts w:hint="default" w:ascii="Times New Roman" w:hAnsi="Times New Roman" w:eastAsia="宋体" w:cs="Times New Roman"/>
                <w:color w:val="auto"/>
                <w:kern w:val="2"/>
                <w:sz w:val="24"/>
                <w:szCs w:val="24"/>
                <w:highlight w:val="none"/>
                <w:lang w:val="en-US" w:eastAsia="zh-CN"/>
              </w:rPr>
              <w:t>等</w:t>
            </w:r>
            <w:r>
              <w:rPr>
                <w:rFonts w:hint="default" w:ascii="Times New Roman" w:hAnsi="Times New Roman" w:eastAsia="宋体" w:cs="Times New Roman"/>
                <w:color w:val="auto"/>
                <w:sz w:val="24"/>
                <w:szCs w:val="24"/>
                <w:highlight w:val="none"/>
              </w:rPr>
              <w:t>设备</w:t>
            </w:r>
          </w:p>
        </w:tc>
        <w:tc>
          <w:tcPr>
            <w:tcW w:w="1598" w:type="dxa"/>
            <w:vAlign w:val="center"/>
          </w:tcPr>
          <w:p>
            <w:pPr>
              <w:keepNext w:val="0"/>
              <w:keepLines w:val="0"/>
              <w:pageBreakBefore w:val="0"/>
              <w:widowControl w:val="0"/>
              <w:kinsoku/>
              <w:wordWrap/>
              <w:overflowPunct/>
              <w:topLinePunct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sz w:val="24"/>
                <w:szCs w:val="24"/>
                <w:highlight w:val="none"/>
              </w:rPr>
              <w:t>噪声</w:t>
            </w:r>
          </w:p>
        </w:tc>
        <w:tc>
          <w:tcPr>
            <w:tcW w:w="2234" w:type="dxa"/>
            <w:vAlign w:val="center"/>
          </w:tcPr>
          <w:p>
            <w:pPr>
              <w:keepNext w:val="0"/>
              <w:keepLines w:val="0"/>
              <w:pageBreakBefore w:val="0"/>
              <w:widowControl w:val="0"/>
              <w:kinsoku/>
              <w:wordWrap/>
              <w:overflowPunct/>
              <w:topLinePunct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选用低噪声设备，厂房隔声、设置基础减震</w:t>
            </w:r>
          </w:p>
        </w:tc>
        <w:tc>
          <w:tcPr>
            <w:tcW w:w="2397"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《工业企业厂界环境噪声排放标准》（GB12348-2008）</w:t>
            </w:r>
            <w:r>
              <w:rPr>
                <w:rFonts w:hint="default" w:ascii="Times New Roman" w:hAnsi="Times New Roman" w:eastAsia="宋体" w:cs="Times New Roman"/>
                <w:color w:val="auto"/>
                <w:kern w:val="0"/>
                <w:sz w:val="24"/>
                <w:szCs w:val="24"/>
                <w:highlight w:val="none"/>
                <w:lang w:val="en-US" w:eastAsia="zh-CN"/>
              </w:rPr>
              <w:t>2</w:t>
            </w:r>
            <w:r>
              <w:rPr>
                <w:rFonts w:hint="default" w:ascii="Times New Roman" w:hAnsi="Times New Roman" w:eastAsia="宋体" w:cs="Times New Roman"/>
                <w:color w:val="auto"/>
                <w:kern w:val="0"/>
                <w:sz w:val="24"/>
                <w:szCs w:val="24"/>
                <w:highlight w:val="none"/>
              </w:rPr>
              <w:t>类标准限值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72" w:type="dxa"/>
            <w:vMerge w:val="restart"/>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固体废物</w:t>
            </w:r>
          </w:p>
        </w:tc>
        <w:tc>
          <w:tcPr>
            <w:tcW w:w="1670"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生物质热水锅炉</w:t>
            </w:r>
          </w:p>
        </w:tc>
        <w:tc>
          <w:tcPr>
            <w:tcW w:w="1598"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炉渣</w:t>
            </w:r>
          </w:p>
        </w:tc>
        <w:tc>
          <w:tcPr>
            <w:tcW w:w="2234"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暂存于全封闭灰渣库内，定期作为肥料施用于周边农田</w:t>
            </w:r>
          </w:p>
        </w:tc>
        <w:tc>
          <w:tcPr>
            <w:tcW w:w="2397" w:type="dxa"/>
            <w:vMerge w:val="restart"/>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sz w:val="24"/>
                <w:szCs w:val="24"/>
                <w:highlight w:val="none"/>
                <w:lang w:val="en-US" w:eastAsia="zh-CN"/>
              </w:rPr>
              <w:t>《一般工业固体废物贮存和填埋污染控制标准》（GB18599-2020）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72" w:type="dxa"/>
            <w:vMerge w:val="continue"/>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highlight w:val="none"/>
              </w:rPr>
            </w:pPr>
          </w:p>
        </w:tc>
        <w:tc>
          <w:tcPr>
            <w:tcW w:w="1670"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旋风除尘器+布袋除尘器</w:t>
            </w:r>
          </w:p>
        </w:tc>
        <w:tc>
          <w:tcPr>
            <w:tcW w:w="1598"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除尘灰</w:t>
            </w:r>
          </w:p>
        </w:tc>
        <w:tc>
          <w:tcPr>
            <w:tcW w:w="2234"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袋装后堆存于灰渣库内，定期外运周边农田施肥</w:t>
            </w:r>
          </w:p>
        </w:tc>
        <w:tc>
          <w:tcPr>
            <w:tcW w:w="2397" w:type="dxa"/>
            <w:vMerge w:val="continue"/>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72" w:type="dxa"/>
            <w:vMerge w:val="continue"/>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highlight w:val="none"/>
              </w:rPr>
            </w:pPr>
          </w:p>
        </w:tc>
        <w:tc>
          <w:tcPr>
            <w:tcW w:w="1670"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双碱法脱硫塔</w:t>
            </w:r>
          </w:p>
        </w:tc>
        <w:tc>
          <w:tcPr>
            <w:tcW w:w="1598"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脱硫石膏</w:t>
            </w:r>
          </w:p>
        </w:tc>
        <w:tc>
          <w:tcPr>
            <w:tcW w:w="2234"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堆存于封闭灰渣库内，最终外售建材公司综合利用</w:t>
            </w:r>
          </w:p>
        </w:tc>
        <w:tc>
          <w:tcPr>
            <w:tcW w:w="2397" w:type="dxa"/>
            <w:vMerge w:val="continue"/>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72" w:type="dxa"/>
            <w:vMerge w:val="continue"/>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highlight w:val="none"/>
              </w:rPr>
            </w:pPr>
          </w:p>
        </w:tc>
        <w:tc>
          <w:tcPr>
            <w:tcW w:w="1670"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软水制备装置</w:t>
            </w:r>
          </w:p>
        </w:tc>
        <w:tc>
          <w:tcPr>
            <w:tcW w:w="1598"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废饱和树脂</w:t>
            </w:r>
          </w:p>
        </w:tc>
        <w:tc>
          <w:tcPr>
            <w:tcW w:w="2234"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由销售厂家直接回收，不在厂区内储存</w:t>
            </w:r>
          </w:p>
        </w:tc>
        <w:tc>
          <w:tcPr>
            <w:tcW w:w="2397" w:type="dxa"/>
            <w:vMerge w:val="continue"/>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4"/>
                <w:szCs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72"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土壤及地下水污染防治措施</w:t>
            </w:r>
          </w:p>
        </w:tc>
        <w:tc>
          <w:tcPr>
            <w:tcW w:w="7899" w:type="dxa"/>
            <w:gridSpan w:val="4"/>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改建项目灰渣库、</w:t>
            </w:r>
            <w:r>
              <w:rPr>
                <w:rFonts w:hint="default" w:ascii="Times New Roman" w:hAnsi="Times New Roman" w:eastAsia="宋体" w:cs="Times New Roman"/>
                <w:color w:val="auto"/>
                <w:sz w:val="24"/>
                <w:szCs w:val="24"/>
                <w:highlight w:val="none"/>
                <w:lang w:val="en-US" w:eastAsia="zh-CN"/>
              </w:rPr>
              <w:t>三级沉淀池</w:t>
            </w:r>
            <w:r>
              <w:rPr>
                <w:rFonts w:hint="default" w:ascii="Times New Roman" w:hAnsi="Times New Roman" w:eastAsia="宋体" w:cs="Times New Roman"/>
                <w:color w:val="auto"/>
                <w:sz w:val="24"/>
                <w:szCs w:val="24"/>
                <w:highlight w:val="none"/>
              </w:rPr>
              <w:t>为</w:t>
            </w:r>
            <w:r>
              <w:rPr>
                <w:rFonts w:hint="default" w:ascii="Times New Roman" w:hAnsi="Times New Roman" w:eastAsia="宋体" w:cs="Times New Roman"/>
                <w:color w:val="auto"/>
                <w:sz w:val="24"/>
                <w:szCs w:val="24"/>
                <w:highlight w:val="none"/>
                <w:lang w:val="en-US" w:eastAsia="zh-CN"/>
              </w:rPr>
              <w:t>一般</w:t>
            </w:r>
            <w:r>
              <w:rPr>
                <w:rFonts w:hint="default" w:ascii="Times New Roman" w:hAnsi="Times New Roman" w:eastAsia="宋体" w:cs="Times New Roman"/>
                <w:color w:val="auto"/>
                <w:sz w:val="24"/>
                <w:szCs w:val="24"/>
                <w:highlight w:val="none"/>
              </w:rPr>
              <w:t>防渗区</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采用混凝土</w:t>
            </w:r>
            <w:r>
              <w:rPr>
                <w:rFonts w:hint="default" w:ascii="Times New Roman" w:hAnsi="Times New Roman" w:eastAsia="宋体" w:cs="Times New Roman"/>
                <w:color w:val="auto"/>
                <w:sz w:val="24"/>
                <w:szCs w:val="24"/>
                <w:highlight w:val="none"/>
                <w:lang w:val="en-US" w:eastAsia="zh-CN"/>
              </w:rPr>
              <w:t>+防水材料</w:t>
            </w:r>
            <w:r>
              <w:rPr>
                <w:rFonts w:hint="default" w:ascii="Times New Roman" w:hAnsi="Times New Roman" w:eastAsia="宋体" w:cs="Times New Roman"/>
                <w:color w:val="auto"/>
                <w:sz w:val="24"/>
                <w:szCs w:val="24"/>
                <w:highlight w:val="none"/>
              </w:rPr>
              <w:t>铺设，达到防渗的目的；</w:t>
            </w:r>
            <w:r>
              <w:rPr>
                <w:rFonts w:hint="default" w:ascii="Times New Roman" w:hAnsi="Times New Roman" w:eastAsia="宋体" w:cs="Times New Roman"/>
                <w:color w:val="auto"/>
                <w:sz w:val="24"/>
                <w:szCs w:val="24"/>
                <w:highlight w:val="none"/>
                <w:lang w:eastAsia="zh-CN"/>
              </w:rPr>
              <w:t>燃料库</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锅炉房</w:t>
            </w:r>
            <w:r>
              <w:rPr>
                <w:rFonts w:hint="default" w:ascii="Times New Roman" w:hAnsi="Times New Roman" w:eastAsia="宋体" w:cs="Times New Roman"/>
                <w:color w:val="auto"/>
                <w:sz w:val="24"/>
                <w:szCs w:val="24"/>
                <w:highlight w:val="none"/>
              </w:rPr>
              <w:t>为简单防渗区</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通过采取严格有效的防渗措施，可以有效降低非正常工况发生的污染物</w:t>
            </w:r>
            <w:r>
              <w:rPr>
                <w:rFonts w:hint="default" w:ascii="Times New Roman" w:hAnsi="Times New Roman" w:eastAsia="宋体" w:cs="Times New Roman"/>
                <w:color w:val="auto"/>
                <w:sz w:val="24"/>
                <w:szCs w:val="24"/>
                <w:highlight w:val="none"/>
                <w:lang w:eastAsia="zh-CN"/>
              </w:rPr>
              <w:t>泄漏事故</w:t>
            </w:r>
            <w:r>
              <w:rPr>
                <w:rFonts w:hint="default" w:ascii="Times New Roman" w:hAnsi="Times New Roman" w:eastAsia="宋体" w:cs="Times New Roman"/>
                <w:color w:val="auto"/>
                <w:sz w:val="24"/>
                <w:szCs w:val="24"/>
                <w:highlight w:val="none"/>
              </w:rPr>
              <w:t>；在发生</w:t>
            </w:r>
            <w:r>
              <w:rPr>
                <w:rFonts w:hint="default" w:ascii="Times New Roman" w:hAnsi="Times New Roman" w:eastAsia="宋体" w:cs="Times New Roman"/>
                <w:color w:val="auto"/>
                <w:sz w:val="24"/>
                <w:szCs w:val="24"/>
                <w:highlight w:val="none"/>
                <w:lang w:eastAsia="zh-CN"/>
              </w:rPr>
              <w:t>泄漏</w:t>
            </w:r>
            <w:r>
              <w:rPr>
                <w:rFonts w:hint="default" w:ascii="Times New Roman" w:hAnsi="Times New Roman" w:eastAsia="宋体" w:cs="Times New Roman"/>
                <w:color w:val="auto"/>
                <w:sz w:val="24"/>
                <w:szCs w:val="24"/>
                <w:highlight w:val="none"/>
              </w:rPr>
              <w:t>情况下，采取有效的应急措施，可以污染物进入地下水、土壤环境的风险降到最低。</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72"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生态保护措施</w:t>
            </w:r>
          </w:p>
        </w:tc>
        <w:tc>
          <w:tcPr>
            <w:tcW w:w="7899" w:type="dxa"/>
            <w:gridSpan w:val="4"/>
            <w:vAlign w:val="center"/>
          </w:tcPr>
          <w:p>
            <w:pPr>
              <w:pStyle w:val="10"/>
              <w:keepNext w:val="0"/>
              <w:keepLines w:val="0"/>
              <w:pageBreakBefore w:val="0"/>
              <w:widowControl w:val="0"/>
              <w:kinsoku/>
              <w:wordWrap/>
              <w:overflowPunct/>
              <w:topLinePunct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szCs w:val="24"/>
                <w:highlight w:val="none"/>
                <w:lang w:bidi="ar-OM"/>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72"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pacing w:val="-8"/>
                <w:sz w:val="24"/>
                <w:szCs w:val="24"/>
                <w:highlight w:val="none"/>
              </w:rPr>
            </w:pPr>
            <w:r>
              <w:rPr>
                <w:rFonts w:hint="default" w:ascii="Times New Roman" w:hAnsi="Times New Roman" w:eastAsia="宋体" w:cs="Times New Roman"/>
                <w:b/>
                <w:bCs/>
                <w:color w:val="auto"/>
                <w:spacing w:val="-8"/>
                <w:sz w:val="24"/>
                <w:szCs w:val="24"/>
                <w:highlight w:val="none"/>
              </w:rPr>
              <w:t>环境风险</w:t>
            </w:r>
          </w:p>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pacing w:val="-8"/>
                <w:sz w:val="24"/>
                <w:szCs w:val="24"/>
                <w:highlight w:val="none"/>
              </w:rPr>
            </w:pPr>
            <w:r>
              <w:rPr>
                <w:rFonts w:hint="default" w:ascii="Times New Roman" w:hAnsi="Times New Roman" w:eastAsia="宋体" w:cs="Times New Roman"/>
                <w:b/>
                <w:bCs/>
                <w:color w:val="auto"/>
                <w:spacing w:val="-8"/>
                <w:sz w:val="24"/>
                <w:szCs w:val="24"/>
                <w:highlight w:val="none"/>
              </w:rPr>
              <w:t>防范措施</w:t>
            </w:r>
          </w:p>
        </w:tc>
        <w:tc>
          <w:tcPr>
            <w:tcW w:w="7899" w:type="dxa"/>
            <w:gridSpan w:val="4"/>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1）大气环境风险防范</w:t>
            </w:r>
          </w:p>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制定消防条例、车间内严禁烟火、车间内放置灭火器等消防装置等风险防范措施，加强燃料风险隐患排查和风险防范管理，提高风险防范和应急处置能力。</w:t>
            </w:r>
          </w:p>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2）地表水环境风险防范</w:t>
            </w:r>
          </w:p>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加强厂区废水处理站的运行管理，完善检修和巡检制度，减少“跑、冒、滴、漏”，发现问题可及时发现并采取措施。</w:t>
            </w:r>
          </w:p>
          <w:p>
            <w:pPr>
              <w:keepNext w:val="0"/>
              <w:keepLines w:val="0"/>
              <w:pageBreakBefore w:val="0"/>
              <w:widowControl w:val="0"/>
              <w:kinsoku/>
              <w:wordWrap/>
              <w:overflowPunct/>
              <w:topLinePunct w:val="0"/>
              <w:autoSpaceDE w:val="0"/>
              <w:autoSpaceDN w:val="0"/>
              <w:bidi w:val="0"/>
              <w:adjustRightInd/>
              <w:snapToGrid/>
              <w:spacing w:line="240" w:lineRule="auto"/>
              <w:ind w:left="0" w:leftChars="0" w:right="0" w:rightChars="0" w:firstLine="0" w:firstLineChars="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3）地下水环境风险防范</w:t>
            </w:r>
          </w:p>
          <w:p>
            <w:pPr>
              <w:keepNext w:val="0"/>
              <w:keepLines w:val="0"/>
              <w:pageBreakBefore w:val="0"/>
              <w:widowControl w:val="0"/>
              <w:kinsoku/>
              <w:wordWrap/>
              <w:overflowPunct/>
              <w:topLinePunct w:val="0"/>
              <w:bidi w:val="0"/>
              <w:adjustRightInd/>
              <w:snapToGrid/>
              <w:spacing w:line="240" w:lineRule="auto"/>
              <w:ind w:left="0" w:leftChars="0" w:right="0" w:rightChars="0" w:firstLine="0" w:firstLineChars="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加强风险源事故风险防范，按照地下水污染防治措施采取“源头控制、分区防渗”等风险防范措施，进一步减轻风险事故对地下水环境的影响。</w:t>
            </w:r>
          </w:p>
          <w:p>
            <w:pPr>
              <w:keepNext w:val="0"/>
              <w:keepLines w:val="0"/>
              <w:pageBreakBefore w:val="0"/>
              <w:widowControl w:val="0"/>
              <w:kinsoku/>
              <w:wordWrap/>
              <w:overflowPunct/>
              <w:topLinePunct w:val="0"/>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改建项目</w:t>
            </w:r>
            <w:r>
              <w:rPr>
                <w:rFonts w:hint="default" w:ascii="Times New Roman" w:hAnsi="Times New Roman" w:eastAsia="宋体" w:cs="Times New Roman"/>
                <w:color w:val="auto"/>
                <w:sz w:val="24"/>
                <w:szCs w:val="24"/>
                <w:highlight w:val="none"/>
              </w:rPr>
              <w:t>在采取环评要求的防范措施和应急处置措施后，环境风险事故影响范围主要集中于厂区，环境风险在可接受范围之内。</w:t>
            </w:r>
          </w:p>
          <w:p>
            <w:pPr>
              <w:keepNext w:val="0"/>
              <w:keepLines w:val="0"/>
              <w:pageBreakBefore w:val="0"/>
              <w:widowControl w:val="0"/>
              <w:kinsoku/>
              <w:wordWrap/>
              <w:overflowPunct/>
              <w:topLinePunct w:val="0"/>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）储存、使用过程的风险控制措施</w:t>
            </w:r>
          </w:p>
          <w:p>
            <w:pPr>
              <w:keepNext w:val="0"/>
              <w:keepLines w:val="0"/>
              <w:pageBreakBefore w:val="0"/>
              <w:widowControl w:val="0"/>
              <w:kinsoku/>
              <w:wordWrap/>
              <w:overflowPunct/>
              <w:topLinePunct w:val="0"/>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燃料库</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锅炉房</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灰渣库</w:t>
            </w:r>
            <w:r>
              <w:rPr>
                <w:rFonts w:hint="default" w:ascii="Times New Roman" w:hAnsi="Times New Roman" w:eastAsia="宋体" w:cs="Times New Roman"/>
                <w:color w:val="auto"/>
                <w:sz w:val="24"/>
                <w:szCs w:val="24"/>
                <w:highlight w:val="none"/>
              </w:rPr>
              <w:t>严禁吸烟和使用明火，防止火源进入；设置明显标志；安全设施、消防器材齐备；</w:t>
            </w:r>
            <w:r>
              <w:rPr>
                <w:rFonts w:hint="default" w:ascii="Times New Roman" w:hAnsi="Times New Roman" w:eastAsia="宋体" w:cs="Times New Roman"/>
                <w:color w:val="auto"/>
                <w:sz w:val="24"/>
                <w:szCs w:val="24"/>
                <w:highlight w:val="none"/>
                <w:lang w:eastAsia="zh-CN"/>
              </w:rPr>
              <w:t>燃料库</w:t>
            </w:r>
            <w:r>
              <w:rPr>
                <w:rFonts w:hint="default" w:ascii="Times New Roman" w:hAnsi="Times New Roman" w:eastAsia="宋体" w:cs="Times New Roman"/>
                <w:color w:val="auto"/>
                <w:sz w:val="24"/>
                <w:szCs w:val="24"/>
                <w:highlight w:val="none"/>
              </w:rPr>
              <w:t>设置温度报警器；制定各种操作规范，加强监督管理，严格安全、环保检查制度，避免环境事件的发生。</w:t>
            </w:r>
          </w:p>
          <w:p>
            <w:pPr>
              <w:keepNext w:val="0"/>
              <w:keepLines w:val="0"/>
              <w:pageBreakBefore w:val="0"/>
              <w:widowControl w:val="0"/>
              <w:kinsoku/>
              <w:wordWrap/>
              <w:overflowPunct/>
              <w:topLinePunct w:val="0"/>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）风险防范措施</w:t>
            </w:r>
          </w:p>
          <w:p>
            <w:pPr>
              <w:keepNext w:val="0"/>
              <w:keepLines w:val="0"/>
              <w:pageBreakBefore w:val="0"/>
              <w:widowControl w:val="0"/>
              <w:kinsoku/>
              <w:wordWrap/>
              <w:overflowPunct/>
              <w:topLinePunct w:val="0"/>
              <w:bidi w:val="0"/>
              <w:adjustRightInd/>
              <w:snapToGrid/>
              <w:spacing w:line="240" w:lineRule="auto"/>
              <w:ind w:left="0" w:leftChars="0" w:right="0" w:rightChars="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燃料库</w:t>
            </w:r>
            <w:r>
              <w:rPr>
                <w:rFonts w:hint="default" w:ascii="Times New Roman" w:hAnsi="Times New Roman" w:eastAsia="宋体" w:cs="Times New Roman"/>
                <w:color w:val="auto"/>
                <w:sz w:val="24"/>
                <w:szCs w:val="24"/>
                <w:highlight w:val="none"/>
              </w:rPr>
              <w:t>处设置灭火器等灭火设施；在强化安全、环保教育，提高安全、环保意识的同时，企业保证预警、监控设施到位。配备救护设备；危险作业增设监护人员并为其</w:t>
            </w:r>
            <w:r>
              <w:rPr>
                <w:rFonts w:hint="default" w:ascii="Times New Roman" w:hAnsi="Times New Roman" w:eastAsia="宋体" w:cs="Times New Roman"/>
                <w:color w:val="auto"/>
                <w:sz w:val="24"/>
                <w:szCs w:val="24"/>
                <w:highlight w:val="none"/>
                <w:lang w:eastAsia="zh-CN"/>
              </w:rPr>
              <w:t>配备通信</w:t>
            </w:r>
            <w:r>
              <w:rPr>
                <w:rFonts w:hint="default" w:ascii="Times New Roman" w:hAnsi="Times New Roman" w:eastAsia="宋体" w:cs="Times New Roman"/>
                <w:color w:val="auto"/>
                <w:sz w:val="24"/>
                <w:szCs w:val="24"/>
                <w:highlight w:val="none"/>
              </w:rPr>
              <w:t>、救援等设备；按照国家、地方和相关部门要求，编制突发环境事件应急预案；企业根据实际情况，不断充实和完善应急预案的各项措施，并定期组织演练。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72" w:type="dxa"/>
            <w:vAlign w:val="center"/>
          </w:tcPr>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pacing w:val="-8"/>
                <w:sz w:val="24"/>
                <w:szCs w:val="24"/>
                <w:highlight w:val="none"/>
              </w:rPr>
            </w:pPr>
            <w:r>
              <w:rPr>
                <w:rFonts w:hint="default" w:ascii="Times New Roman" w:hAnsi="Times New Roman" w:eastAsia="宋体" w:cs="Times New Roman"/>
                <w:b/>
                <w:bCs/>
                <w:color w:val="auto"/>
                <w:spacing w:val="-8"/>
                <w:sz w:val="24"/>
                <w:szCs w:val="24"/>
                <w:highlight w:val="none"/>
              </w:rPr>
              <w:t>其他环境</w:t>
            </w:r>
          </w:p>
          <w:p>
            <w:pPr>
              <w:keepNext w:val="0"/>
              <w:keepLines w:val="0"/>
              <w:pageBreakBefore w:val="0"/>
              <w:widowControl w:val="0"/>
              <w:kinsoku/>
              <w:wordWrap/>
              <w:overflowPunct/>
              <w:topLinePunct w:val="0"/>
              <w:bidi w:val="0"/>
              <w:spacing w:line="240" w:lineRule="auto"/>
              <w:ind w:left="0" w:leftChars="0" w:right="0" w:rightChars="0" w:firstLine="0" w:firstLineChars="0"/>
              <w:jc w:val="center"/>
              <w:textAlignment w:val="auto"/>
              <w:rPr>
                <w:rFonts w:hint="default" w:ascii="Times New Roman" w:hAnsi="Times New Roman" w:eastAsia="宋体" w:cs="Times New Roman"/>
                <w:b/>
                <w:bCs/>
                <w:color w:val="auto"/>
                <w:spacing w:val="-8"/>
                <w:sz w:val="24"/>
                <w:szCs w:val="24"/>
                <w:highlight w:val="none"/>
              </w:rPr>
            </w:pPr>
            <w:r>
              <w:rPr>
                <w:rFonts w:hint="default" w:ascii="Times New Roman" w:hAnsi="Times New Roman" w:eastAsia="宋体" w:cs="Times New Roman"/>
                <w:b/>
                <w:bCs/>
                <w:color w:val="auto"/>
                <w:spacing w:val="-8"/>
                <w:sz w:val="24"/>
                <w:szCs w:val="24"/>
                <w:highlight w:val="none"/>
              </w:rPr>
              <w:t>管理要求</w:t>
            </w:r>
          </w:p>
        </w:tc>
        <w:tc>
          <w:tcPr>
            <w:tcW w:w="7899" w:type="dxa"/>
            <w:gridSpan w:val="4"/>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1）“三同时”制度</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建设项目环境保护管理条例》，建设项目需配套建设的环境保护设施，必须与主体工程同时设计、同时施工、同时投产使用。项目竣工后，建设单位应当按照国务院环境保护行政主管部门规定的标准和程序，对配套建设的环境保护设施进行验收，编制验收报告。建设单位在环境保护设施验收过程中，应当如实查验、监测、记载建设项目环境保护设施的建设和调试情况，不得弄虚作假，验收报告应依法向社会公开。</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2）排污许可制度</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建设单位应当在</w:t>
            </w:r>
            <w:r>
              <w:rPr>
                <w:rFonts w:hint="default" w:ascii="Times New Roman" w:hAnsi="Times New Roman" w:eastAsia="宋体" w:cs="Times New Roman"/>
                <w:color w:val="auto"/>
                <w:sz w:val="24"/>
                <w:szCs w:val="24"/>
                <w:highlight w:val="none"/>
                <w:lang w:eastAsia="zh-CN"/>
              </w:rPr>
              <w:t>改建项目</w:t>
            </w:r>
            <w:r>
              <w:rPr>
                <w:rFonts w:hint="default" w:ascii="Times New Roman" w:hAnsi="Times New Roman" w:eastAsia="宋体" w:cs="Times New Roman"/>
                <w:color w:val="auto"/>
                <w:sz w:val="24"/>
                <w:szCs w:val="24"/>
                <w:highlight w:val="none"/>
              </w:rPr>
              <w:t>投入生产或使用并产生实际排污行为之前登录全国排污许可证管理信息平台，依法按照排污许可证申请与核发技术规范的要求向生态环境主管部门申请排污许可证管理。</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3）环保台账制度</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厂内需完善记录制度和档案保存制度，有利于环境管理质量的追踪和持续改进。记录和台账包括设施运行和维护记录、废物进出台账、废水、废气污染物监测台账、所有原辅材料使用台账、突发性事件的处理、调查记录等，妥善保存所有记录、台账及污染物排放监测资料、环境管理档案资料等。</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4）报告制度</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企业应定期向当地政府环保部门报告污染治理设施运行情况、污染物排放情况以及污染事故、污染纠纷等情况，便于环保部门和企业管理人员及时了解企业污染动态，利于采取相应的对策措施。若企业排污情况发生重大变化、污染治理设施改变或企业生产工艺发生重大改变等都必须按《建设项目环境保护管理条例》等文件要求，向当地环保部门申报，并请有审批权限的环保部门审批。企业产量和生产原辅料发生变化也应及时向环保部门报告。</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5）污染治理设施的管理、监控制度</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改建项目</w:t>
            </w:r>
            <w:r>
              <w:rPr>
                <w:rFonts w:hint="default" w:ascii="Times New Roman" w:hAnsi="Times New Roman" w:eastAsia="宋体" w:cs="Times New Roman"/>
                <w:color w:val="auto"/>
                <w:sz w:val="24"/>
                <w:szCs w:val="24"/>
                <w:highlight w:val="none"/>
              </w:rPr>
              <w:t>建成后，必须确保污染治理设施长期、稳定、有效地运行，不得擅自拆除或者闲置尾气处理装置和污水治理设施等，不得故意不正常使用污染治理设施。污染治理设施的管理必须与生产经营活动一起</w:t>
            </w:r>
            <w:r>
              <w:rPr>
                <w:rFonts w:hint="default" w:ascii="Times New Roman" w:hAnsi="Times New Roman" w:eastAsia="宋体" w:cs="Times New Roman"/>
                <w:color w:val="auto"/>
                <w:sz w:val="24"/>
                <w:szCs w:val="24"/>
                <w:highlight w:val="none"/>
                <w:lang w:eastAsia="zh-CN"/>
              </w:rPr>
              <w:t>纳入</w:t>
            </w:r>
            <w:r>
              <w:rPr>
                <w:rFonts w:hint="default" w:ascii="Times New Roman" w:hAnsi="Times New Roman" w:eastAsia="宋体" w:cs="Times New Roman"/>
                <w:color w:val="auto"/>
                <w:sz w:val="24"/>
                <w:szCs w:val="24"/>
                <w:highlight w:val="none"/>
              </w:rPr>
              <w:t>公司日常管理工作的范畴，落实责任人、操作人员、维修人员、运行经费、设备的备品备件和其他原辅材料。同时要建立健全岗位责任制、制定正确的操作规程、建立</w:t>
            </w:r>
            <w:r>
              <w:rPr>
                <w:rFonts w:hint="default" w:ascii="Times New Roman" w:hAnsi="Times New Roman" w:eastAsia="宋体" w:cs="Times New Roman"/>
                <w:color w:val="auto"/>
                <w:sz w:val="24"/>
                <w:szCs w:val="24"/>
                <w:highlight w:val="none"/>
                <w:lang w:eastAsia="zh-CN"/>
              </w:rPr>
              <w:t>管理台账</w:t>
            </w:r>
            <w:r>
              <w:rPr>
                <w:rFonts w:hint="default" w:ascii="Times New Roman" w:hAnsi="Times New Roman" w:eastAsia="宋体"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6）固体废物环境保护制度</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明确建设单位为固体废物污染防治的责任主体，要求企业建立风险管理及应急救援体系，执行环境监测计划、人员培训考核制度、档案管理制度、处置全过程管理制度等。</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7）自行监测制度</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该项目排污特点和实际情况，项目正常运营过程中，应对公司“三废”治理设施运转情况进行定期监测。监测内容包括：废气处理设施的运行情况、废气有组织及无组织排放的达标情况和噪声排放的达标情况。以技术可靠性和测试权威性为前提，建设单位可以委托有监测能力和资质的环境监测机构进行定期监测。具体监测因子和监测频次详见表四主要环境影响和保护措施章节。</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8）污染源排放口规范化</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各污染源排放口应规范设置，应符合国家、省、市有关规定，并通过主管环保部门认证和验收。厂区“三废”及固体废物堆放处应设置明显的环保图形标志，污染物排放口的环保图形标志牌应设置在靠近采样点的醒目处。项目建成后，有组织废气排气筒应按照《环境保护图形标志—排放口</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源）》</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GB15562.1-1995）中的相关要求设置排放源图形标识，并规范设置永久采样孔、采样测试平台。</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在厂区的污水排放口、废气排放口、噪声排放源、固体废物贮存处置场应设置环境保护图形标志，图形符号分为提示图形和警告图形符号两种，分别按GB15562.1-1995、GB15562.2-1995执行。</w:t>
            </w:r>
          </w:p>
          <w:p>
            <w:pPr>
              <w:keepNext w:val="0"/>
              <w:keepLines w:val="0"/>
              <w:pageBreakBefore w:val="0"/>
              <w:widowControl w:val="0"/>
              <w:kinsoku/>
              <w:wordWrap/>
              <w:overflowPunct/>
              <w:topLinePunct w:val="0"/>
              <w:bidi w:val="0"/>
              <w:adjustRightInd/>
              <w:snapToGrid/>
              <w:spacing w:line="240" w:lineRule="auto"/>
              <w:ind w:left="0" w:leftChars="0" w:right="0" w:rightChars="0" w:firstLine="0" w:firstLineChars="0"/>
              <w:textAlignment w:val="auto"/>
              <w:rPr>
                <w:rFonts w:hint="default" w:ascii="Times New Roman" w:hAnsi="Times New Roman" w:eastAsia="宋体" w:cs="Times New Roman"/>
                <w:color w:val="auto"/>
                <w:sz w:val="24"/>
                <w:szCs w:val="24"/>
                <w:highlight w:val="none"/>
              </w:rPr>
            </w:pPr>
          </w:p>
        </w:tc>
      </w:tr>
    </w:tbl>
    <w:p>
      <w:pPr>
        <w:kinsoku/>
        <w:wordWrap/>
        <w:bidi w:val="0"/>
        <w:spacing w:line="360" w:lineRule="auto"/>
        <w:ind w:left="0" w:leftChars="0" w:right="0" w:rightChars="0" w:firstLine="0" w:firstLineChars="0"/>
        <w:rPr>
          <w:rFonts w:hint="default" w:ascii="Times New Roman" w:hAnsi="Times New Roman" w:eastAsia="宋体" w:cs="Times New Roman"/>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6"/>
        <w:kinsoku/>
        <w:wordWrap/>
        <w:bidi w:val="0"/>
        <w:spacing w:line="360" w:lineRule="auto"/>
        <w:ind w:left="0" w:leftChars="0" w:right="0" w:righ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六、结论</w:t>
      </w:r>
    </w:p>
    <w:tbl>
      <w:tblPr>
        <w:tblStyle w:val="19"/>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07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综上所述，项目建设符合国家和地方的相关政策，厂址选择符合当地大气、噪声、地下水功能区划的要求，在各项污染防治措施落实后，污染物均能达标排放。</w:t>
            </w:r>
            <w:r>
              <w:rPr>
                <w:rFonts w:hint="eastAsia" w:cs="Times New Roman"/>
                <w:color w:val="auto"/>
                <w:sz w:val="24"/>
                <w:highlight w:val="none"/>
                <w:lang w:val="en-US" w:eastAsia="zh-CN"/>
              </w:rPr>
              <w:t>该改建项目的实施可以减少锅炉大气主要污染物排放量，有利于项目区域大气环境质量的改善。</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因此，该项目在采取相应的环保措施之后，从环保角度讲项目建设是可行的。</w:t>
            </w:r>
          </w:p>
          <w:p>
            <w:pPr>
              <w:kinsoku/>
              <w:wordWrap/>
              <w:bidi w:val="0"/>
              <w:spacing w:line="360" w:lineRule="auto"/>
              <w:ind w:left="0" w:leftChars="0" w:right="0" w:rightChars="0" w:firstLine="0" w:firstLineChars="0"/>
              <w:jc w:val="both"/>
              <w:rPr>
                <w:rFonts w:hint="default" w:ascii="Times New Roman" w:hAnsi="Times New Roman" w:eastAsia="宋体" w:cs="Times New Roman"/>
                <w:color w:val="auto"/>
                <w:szCs w:val="21"/>
                <w:highlight w:val="none"/>
              </w:rPr>
            </w:pPr>
          </w:p>
        </w:tc>
      </w:tr>
    </w:tbl>
    <w:p>
      <w:pPr>
        <w:bidi w:val="0"/>
        <w:rPr>
          <w:rFonts w:hint="default"/>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6"/>
        <w:kinsoku/>
        <w:wordWrap/>
        <w:bidi w:val="0"/>
        <w:spacing w:line="360" w:lineRule="auto"/>
        <w:ind w:left="0" w:leftChars="0" w:right="0" w:rightChars="0" w:firstLine="0" w:firstLineChars="0"/>
        <w:jc w:val="center"/>
        <w:rPr>
          <w:rFonts w:hint="default" w:ascii="Times New Roman" w:hAnsi="Times New Roman" w:eastAsia="宋体" w:cs="Times New Roman"/>
          <w:b/>
          <w:bCs/>
          <w:snapToGrid w:val="0"/>
          <w:color w:val="auto"/>
          <w:sz w:val="21"/>
          <w:szCs w:val="21"/>
          <w:highlight w:val="none"/>
        </w:rPr>
      </w:pPr>
      <w:r>
        <w:rPr>
          <w:rFonts w:hint="default" w:ascii="Times New Roman" w:hAnsi="Times New Roman" w:eastAsia="宋体" w:cs="Times New Roman"/>
          <w:color w:val="auto"/>
          <w:highlight w:val="none"/>
        </w:rPr>
        <w:t>附表</w:t>
      </w:r>
      <w:r>
        <w:rPr>
          <w:rFonts w:hint="eastAsia" w:ascii="Times New Roman" w:hAnsi="Times New Roman" w:cs="Times New Roman"/>
          <w:color w:val="auto"/>
          <w:highlight w:val="none"/>
          <w:lang w:val="en-US" w:eastAsia="zh-CN"/>
        </w:rPr>
        <w:t xml:space="preserve"> </w:t>
      </w:r>
      <w:r>
        <w:rPr>
          <w:rFonts w:hint="eastAsia" w:ascii="Times New Roman" w:hAnsi="Times New Roman" w:eastAsia="宋体" w:cs="Times New Roman"/>
          <w:color w:val="auto"/>
          <w:highlight w:val="none"/>
          <w:lang w:val="en-US" w:eastAsia="zh-CN"/>
        </w:rPr>
        <w:t xml:space="preserve">  </w:t>
      </w:r>
      <w:r>
        <w:rPr>
          <w:rFonts w:hint="eastAsia" w:ascii="Times New Roman" w:hAnsi="Times New Roman" w:cs="Times New Roman"/>
          <w:color w:val="auto"/>
          <w:highlight w:val="none"/>
          <w:lang w:val="en-US" w:eastAsia="zh-CN"/>
        </w:rPr>
        <w:t xml:space="preserve"> </w:t>
      </w:r>
      <w:r>
        <w:rPr>
          <w:rFonts w:hint="default" w:ascii="Times New Roman" w:hAnsi="Times New Roman" w:eastAsia="宋体" w:cs="Times New Roman"/>
          <w:color w:val="auto"/>
          <w:highlight w:val="none"/>
        </w:rPr>
        <w:t>建设项目污染物排放量汇总表</w:t>
      </w:r>
    </w:p>
    <w:tbl>
      <w:tblPr>
        <w:tblStyle w:val="19"/>
        <w:tblW w:w="1360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84"/>
        <w:gridCol w:w="1582"/>
        <w:gridCol w:w="1678"/>
        <w:gridCol w:w="1278"/>
        <w:gridCol w:w="1659"/>
        <w:gridCol w:w="1538"/>
        <w:gridCol w:w="1444"/>
        <w:gridCol w:w="1669"/>
        <w:gridCol w:w="137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384" w:type="dxa"/>
            <w:tcBorders>
              <w:tl2br w:val="single" w:color="auto" w:sz="4" w:space="0"/>
            </w:tcBorders>
            <w:tcMar>
              <w:left w:w="28" w:type="dxa"/>
              <w:right w:w="28" w:type="dxa"/>
            </w:tcMar>
            <w:vAlign w:val="center"/>
          </w:tcPr>
          <w:p>
            <w:pPr>
              <w:kinsoku/>
              <w:wordWrap/>
              <w:bidi w:val="0"/>
              <w:spacing w:line="240" w:lineRule="auto"/>
              <w:ind w:left="0" w:leftChars="0" w:right="0" w:rightChars="0" w:firstLine="0" w:firstLineChars="0"/>
              <w:jc w:val="right"/>
              <w:rPr>
                <w:rFonts w:hint="default" w:ascii="Times New Roman" w:hAnsi="Times New Roman" w:eastAsia="宋体" w:cs="Times New Roman"/>
                <w:b/>
                <w:bCs/>
                <w:snapToGrid w:val="0"/>
                <w:color w:val="auto"/>
                <w:spacing w:val="-6"/>
                <w:kern w:val="21"/>
                <w:sz w:val="24"/>
                <w:szCs w:val="24"/>
                <w:highlight w:val="none"/>
              </w:rPr>
            </w:pPr>
            <w:r>
              <w:rPr>
                <w:rFonts w:hint="default" w:ascii="Times New Roman" w:hAnsi="Times New Roman" w:eastAsia="宋体" w:cs="Times New Roman"/>
                <w:b/>
                <w:bCs/>
                <w:snapToGrid w:val="0"/>
                <w:color w:val="auto"/>
                <w:spacing w:val="-6"/>
                <w:kern w:val="21"/>
                <w:sz w:val="24"/>
                <w:szCs w:val="24"/>
                <w:highlight w:val="none"/>
              </w:rPr>
              <w:t>项目</w:t>
            </w:r>
          </w:p>
          <w:p>
            <w:pPr>
              <w:kinsoku/>
              <w:wordWrap/>
              <w:bidi w:val="0"/>
              <w:spacing w:line="240" w:lineRule="auto"/>
              <w:ind w:left="0" w:leftChars="0" w:right="0" w:rightChars="0" w:firstLine="0" w:firstLineChars="0"/>
              <w:jc w:val="both"/>
              <w:rPr>
                <w:rFonts w:hint="default" w:ascii="Times New Roman" w:hAnsi="Times New Roman" w:eastAsia="宋体" w:cs="Times New Roman"/>
                <w:b/>
                <w:bCs/>
                <w:snapToGrid w:val="0"/>
                <w:color w:val="auto"/>
                <w:spacing w:val="-6"/>
                <w:kern w:val="21"/>
                <w:sz w:val="24"/>
                <w:szCs w:val="24"/>
                <w:highlight w:val="none"/>
              </w:rPr>
            </w:pPr>
            <w:r>
              <w:rPr>
                <w:rFonts w:hint="default" w:ascii="Times New Roman" w:hAnsi="Times New Roman" w:eastAsia="宋体" w:cs="Times New Roman"/>
                <w:b/>
                <w:bCs/>
                <w:snapToGrid w:val="0"/>
                <w:color w:val="auto"/>
                <w:spacing w:val="-6"/>
                <w:kern w:val="21"/>
                <w:sz w:val="24"/>
                <w:szCs w:val="24"/>
                <w:highlight w:val="none"/>
              </w:rPr>
              <w:t>分类</w:t>
            </w:r>
          </w:p>
        </w:tc>
        <w:tc>
          <w:tcPr>
            <w:tcW w:w="1582" w:type="dxa"/>
            <w:tcMar>
              <w:left w:w="28" w:type="dxa"/>
              <w:right w:w="28" w:type="dxa"/>
            </w:tcMar>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snapToGrid w:val="0"/>
                <w:color w:val="auto"/>
                <w:spacing w:val="-6"/>
                <w:kern w:val="21"/>
                <w:sz w:val="24"/>
                <w:szCs w:val="24"/>
                <w:highlight w:val="none"/>
              </w:rPr>
            </w:pPr>
            <w:r>
              <w:rPr>
                <w:rFonts w:hint="default" w:ascii="Times New Roman" w:hAnsi="Times New Roman" w:eastAsia="宋体" w:cs="Times New Roman"/>
                <w:b/>
                <w:bCs/>
                <w:snapToGrid w:val="0"/>
                <w:color w:val="auto"/>
                <w:spacing w:val="-6"/>
                <w:kern w:val="21"/>
                <w:sz w:val="24"/>
                <w:szCs w:val="24"/>
                <w:highlight w:val="none"/>
              </w:rPr>
              <w:t>污染物名称</w:t>
            </w:r>
          </w:p>
        </w:tc>
        <w:tc>
          <w:tcPr>
            <w:tcW w:w="1678" w:type="dxa"/>
            <w:tcMar>
              <w:left w:w="28" w:type="dxa"/>
              <w:right w:w="28" w:type="dxa"/>
            </w:tcMar>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snapToGrid w:val="0"/>
                <w:color w:val="auto"/>
                <w:spacing w:val="-6"/>
                <w:kern w:val="21"/>
                <w:sz w:val="24"/>
                <w:szCs w:val="24"/>
                <w:highlight w:val="none"/>
                <w:lang w:eastAsia="zh-CN"/>
              </w:rPr>
            </w:pPr>
            <w:r>
              <w:rPr>
                <w:rFonts w:hint="default" w:ascii="Times New Roman" w:hAnsi="Times New Roman" w:eastAsia="宋体" w:cs="Times New Roman"/>
                <w:b/>
                <w:bCs/>
                <w:snapToGrid w:val="0"/>
                <w:color w:val="auto"/>
                <w:spacing w:val="-6"/>
                <w:kern w:val="21"/>
                <w:sz w:val="24"/>
                <w:szCs w:val="24"/>
                <w:highlight w:val="none"/>
                <w:lang w:eastAsia="zh-CN"/>
              </w:rPr>
              <w:t>现有项目</w:t>
            </w:r>
          </w:p>
          <w:p>
            <w:pPr>
              <w:kinsoku/>
              <w:wordWrap/>
              <w:bidi w:val="0"/>
              <w:spacing w:line="240" w:lineRule="auto"/>
              <w:ind w:left="0" w:leftChars="0" w:right="0" w:rightChars="0" w:firstLine="0" w:firstLineChars="0"/>
              <w:jc w:val="center"/>
              <w:rPr>
                <w:rFonts w:hint="default" w:ascii="Times New Roman" w:hAnsi="Times New Roman" w:eastAsia="宋体" w:cs="Times New Roman"/>
                <w:b/>
                <w:bCs/>
                <w:snapToGrid w:val="0"/>
                <w:color w:val="auto"/>
                <w:spacing w:val="-6"/>
                <w:kern w:val="21"/>
                <w:sz w:val="24"/>
                <w:szCs w:val="24"/>
                <w:highlight w:val="none"/>
              </w:rPr>
            </w:pPr>
            <w:r>
              <w:rPr>
                <w:rFonts w:hint="default" w:ascii="Times New Roman" w:hAnsi="Times New Roman" w:eastAsia="宋体" w:cs="Times New Roman"/>
                <w:b/>
                <w:bCs/>
                <w:snapToGrid w:val="0"/>
                <w:color w:val="auto"/>
                <w:spacing w:val="-6"/>
                <w:kern w:val="21"/>
                <w:sz w:val="24"/>
                <w:szCs w:val="24"/>
                <w:highlight w:val="none"/>
              </w:rPr>
              <w:t>排放量（固体废物产生量）</w:t>
            </w:r>
            <w:r>
              <w:rPr>
                <w:rFonts w:hint="default" w:ascii="Times New Roman" w:hAnsi="Times New Roman" w:eastAsia="宋体" w:cs="Times New Roman"/>
                <w:b/>
                <w:bCs/>
                <w:snapToGrid w:val="0"/>
                <w:color w:val="auto"/>
                <w:spacing w:val="-6"/>
                <w:kern w:val="21"/>
                <w:sz w:val="24"/>
                <w:szCs w:val="24"/>
                <w:highlight w:val="none"/>
              </w:rPr>
              <w:fldChar w:fldCharType="begin"/>
            </w:r>
            <w:r>
              <w:rPr>
                <w:rFonts w:hint="default" w:ascii="Times New Roman" w:hAnsi="Times New Roman" w:eastAsia="宋体" w:cs="Times New Roman"/>
                <w:b/>
                <w:bCs/>
                <w:snapToGrid w:val="0"/>
                <w:color w:val="auto"/>
                <w:spacing w:val="-6"/>
                <w:kern w:val="21"/>
                <w:sz w:val="24"/>
                <w:szCs w:val="24"/>
                <w:highlight w:val="none"/>
              </w:rPr>
              <w:instrText xml:space="preserve"> = 1 \* GB3 \* MERGEFORMAT </w:instrText>
            </w:r>
            <w:r>
              <w:rPr>
                <w:rFonts w:hint="default" w:ascii="Times New Roman" w:hAnsi="Times New Roman" w:eastAsia="宋体" w:cs="Times New Roman"/>
                <w:b/>
                <w:bCs/>
                <w:snapToGrid w:val="0"/>
                <w:color w:val="auto"/>
                <w:spacing w:val="-6"/>
                <w:kern w:val="21"/>
                <w:sz w:val="24"/>
                <w:szCs w:val="24"/>
                <w:highlight w:val="none"/>
              </w:rPr>
              <w:fldChar w:fldCharType="separate"/>
            </w:r>
            <w:r>
              <w:rPr>
                <w:rFonts w:hint="default" w:ascii="Times New Roman" w:hAnsi="Times New Roman" w:eastAsia="宋体" w:cs="Times New Roman"/>
                <w:b/>
                <w:bCs/>
                <w:color w:val="auto"/>
                <w:kern w:val="2"/>
                <w:sz w:val="24"/>
                <w:szCs w:val="24"/>
                <w:highlight w:val="none"/>
              </w:rPr>
              <w:t>①</w:t>
            </w:r>
            <w:r>
              <w:rPr>
                <w:rFonts w:hint="default" w:ascii="Times New Roman" w:hAnsi="Times New Roman" w:eastAsia="宋体" w:cs="Times New Roman"/>
                <w:b/>
                <w:bCs/>
                <w:snapToGrid w:val="0"/>
                <w:color w:val="auto"/>
                <w:spacing w:val="-6"/>
                <w:kern w:val="21"/>
                <w:sz w:val="24"/>
                <w:szCs w:val="24"/>
                <w:highlight w:val="none"/>
              </w:rPr>
              <w:fldChar w:fldCharType="end"/>
            </w:r>
          </w:p>
        </w:tc>
        <w:tc>
          <w:tcPr>
            <w:tcW w:w="1278" w:type="dxa"/>
            <w:tcMar>
              <w:left w:w="28" w:type="dxa"/>
              <w:right w:w="28" w:type="dxa"/>
            </w:tcMar>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snapToGrid w:val="0"/>
                <w:color w:val="auto"/>
                <w:spacing w:val="-6"/>
                <w:kern w:val="21"/>
                <w:sz w:val="24"/>
                <w:szCs w:val="24"/>
                <w:highlight w:val="none"/>
                <w:lang w:eastAsia="zh-CN"/>
              </w:rPr>
            </w:pPr>
            <w:r>
              <w:rPr>
                <w:rFonts w:hint="default" w:ascii="Times New Roman" w:hAnsi="Times New Roman" w:eastAsia="宋体" w:cs="Times New Roman"/>
                <w:b/>
                <w:bCs/>
                <w:snapToGrid w:val="0"/>
                <w:color w:val="auto"/>
                <w:spacing w:val="-6"/>
                <w:kern w:val="21"/>
                <w:sz w:val="24"/>
                <w:szCs w:val="24"/>
                <w:highlight w:val="none"/>
                <w:lang w:eastAsia="zh-CN"/>
              </w:rPr>
              <w:t>现有项目</w:t>
            </w:r>
          </w:p>
          <w:p>
            <w:pPr>
              <w:kinsoku/>
              <w:wordWrap/>
              <w:bidi w:val="0"/>
              <w:spacing w:line="240" w:lineRule="auto"/>
              <w:ind w:left="0" w:leftChars="0" w:right="0" w:rightChars="0" w:firstLine="0" w:firstLineChars="0"/>
              <w:jc w:val="center"/>
              <w:rPr>
                <w:rFonts w:hint="default" w:ascii="Times New Roman" w:hAnsi="Times New Roman" w:eastAsia="宋体" w:cs="Times New Roman"/>
                <w:b/>
                <w:bCs/>
                <w:snapToGrid w:val="0"/>
                <w:color w:val="auto"/>
                <w:spacing w:val="-6"/>
                <w:kern w:val="21"/>
                <w:sz w:val="24"/>
                <w:szCs w:val="24"/>
                <w:highlight w:val="none"/>
              </w:rPr>
            </w:pPr>
            <w:r>
              <w:rPr>
                <w:rFonts w:hint="default" w:ascii="Times New Roman" w:hAnsi="Times New Roman" w:eastAsia="宋体" w:cs="Times New Roman"/>
                <w:b/>
                <w:bCs/>
                <w:snapToGrid w:val="0"/>
                <w:color w:val="auto"/>
                <w:spacing w:val="-6"/>
                <w:kern w:val="21"/>
                <w:sz w:val="24"/>
                <w:szCs w:val="24"/>
                <w:highlight w:val="none"/>
              </w:rPr>
              <w:t>许可排放量</w:t>
            </w:r>
          </w:p>
          <w:p>
            <w:pPr>
              <w:kinsoku/>
              <w:wordWrap/>
              <w:bidi w:val="0"/>
              <w:spacing w:line="240" w:lineRule="auto"/>
              <w:ind w:left="0" w:leftChars="0" w:right="0" w:rightChars="0" w:firstLine="0" w:firstLineChars="0"/>
              <w:jc w:val="center"/>
              <w:rPr>
                <w:rFonts w:hint="default" w:ascii="Times New Roman" w:hAnsi="Times New Roman" w:eastAsia="宋体" w:cs="Times New Roman"/>
                <w:b/>
                <w:bCs/>
                <w:snapToGrid w:val="0"/>
                <w:color w:val="auto"/>
                <w:spacing w:val="-6"/>
                <w:kern w:val="21"/>
                <w:sz w:val="24"/>
                <w:szCs w:val="24"/>
                <w:highlight w:val="none"/>
              </w:rPr>
            </w:pPr>
            <w:r>
              <w:rPr>
                <w:rFonts w:hint="default" w:ascii="Times New Roman" w:hAnsi="Times New Roman" w:eastAsia="宋体" w:cs="Times New Roman"/>
                <w:b/>
                <w:bCs/>
                <w:snapToGrid w:val="0"/>
                <w:color w:val="auto"/>
                <w:spacing w:val="-6"/>
                <w:kern w:val="21"/>
                <w:sz w:val="24"/>
                <w:szCs w:val="24"/>
                <w:highlight w:val="none"/>
              </w:rPr>
              <w:fldChar w:fldCharType="begin"/>
            </w:r>
            <w:r>
              <w:rPr>
                <w:rFonts w:hint="default" w:ascii="Times New Roman" w:hAnsi="Times New Roman" w:eastAsia="宋体" w:cs="Times New Roman"/>
                <w:b/>
                <w:bCs/>
                <w:snapToGrid w:val="0"/>
                <w:color w:val="auto"/>
                <w:spacing w:val="-6"/>
                <w:kern w:val="21"/>
                <w:sz w:val="24"/>
                <w:szCs w:val="24"/>
                <w:highlight w:val="none"/>
              </w:rPr>
              <w:instrText xml:space="preserve"> = 2 \* GB3 \* MERGEFORMAT </w:instrText>
            </w:r>
            <w:r>
              <w:rPr>
                <w:rFonts w:hint="default" w:ascii="Times New Roman" w:hAnsi="Times New Roman" w:eastAsia="宋体" w:cs="Times New Roman"/>
                <w:b/>
                <w:bCs/>
                <w:snapToGrid w:val="0"/>
                <w:color w:val="auto"/>
                <w:spacing w:val="-6"/>
                <w:kern w:val="21"/>
                <w:sz w:val="24"/>
                <w:szCs w:val="24"/>
                <w:highlight w:val="none"/>
              </w:rPr>
              <w:fldChar w:fldCharType="separate"/>
            </w:r>
            <w:r>
              <w:rPr>
                <w:rFonts w:hint="default" w:ascii="Times New Roman" w:hAnsi="Times New Roman" w:eastAsia="宋体" w:cs="Times New Roman"/>
                <w:b/>
                <w:bCs/>
                <w:snapToGrid w:val="0"/>
                <w:color w:val="auto"/>
                <w:spacing w:val="-6"/>
                <w:kern w:val="21"/>
                <w:sz w:val="24"/>
                <w:szCs w:val="24"/>
                <w:highlight w:val="none"/>
              </w:rPr>
              <w:t>②</w:t>
            </w:r>
            <w:r>
              <w:rPr>
                <w:rFonts w:hint="default" w:ascii="Times New Roman" w:hAnsi="Times New Roman" w:eastAsia="宋体" w:cs="Times New Roman"/>
                <w:b/>
                <w:bCs/>
                <w:snapToGrid w:val="0"/>
                <w:color w:val="auto"/>
                <w:spacing w:val="-6"/>
                <w:kern w:val="21"/>
                <w:sz w:val="24"/>
                <w:szCs w:val="24"/>
                <w:highlight w:val="none"/>
              </w:rPr>
              <w:fldChar w:fldCharType="end"/>
            </w:r>
          </w:p>
        </w:tc>
        <w:tc>
          <w:tcPr>
            <w:tcW w:w="1659" w:type="dxa"/>
            <w:tcMar>
              <w:left w:w="28" w:type="dxa"/>
              <w:right w:w="28" w:type="dxa"/>
            </w:tcMar>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snapToGrid w:val="0"/>
                <w:color w:val="auto"/>
                <w:spacing w:val="-6"/>
                <w:kern w:val="21"/>
                <w:sz w:val="24"/>
                <w:szCs w:val="24"/>
                <w:highlight w:val="none"/>
              </w:rPr>
            </w:pPr>
            <w:r>
              <w:rPr>
                <w:rFonts w:hint="default" w:ascii="Times New Roman" w:hAnsi="Times New Roman" w:eastAsia="宋体" w:cs="Times New Roman"/>
                <w:b/>
                <w:bCs/>
                <w:snapToGrid w:val="0"/>
                <w:color w:val="auto"/>
                <w:spacing w:val="-6"/>
                <w:kern w:val="21"/>
                <w:sz w:val="24"/>
                <w:szCs w:val="24"/>
                <w:highlight w:val="none"/>
              </w:rPr>
              <w:t>在建工程</w:t>
            </w:r>
          </w:p>
          <w:p>
            <w:pPr>
              <w:kinsoku/>
              <w:wordWrap/>
              <w:bidi w:val="0"/>
              <w:spacing w:line="240" w:lineRule="auto"/>
              <w:ind w:left="0" w:leftChars="0" w:right="0" w:rightChars="0" w:firstLine="0" w:firstLineChars="0"/>
              <w:jc w:val="center"/>
              <w:rPr>
                <w:rFonts w:hint="default" w:ascii="Times New Roman" w:hAnsi="Times New Roman" w:eastAsia="宋体" w:cs="Times New Roman"/>
                <w:b/>
                <w:bCs/>
                <w:snapToGrid w:val="0"/>
                <w:color w:val="auto"/>
                <w:spacing w:val="-6"/>
                <w:kern w:val="21"/>
                <w:sz w:val="24"/>
                <w:szCs w:val="24"/>
                <w:highlight w:val="none"/>
              </w:rPr>
            </w:pPr>
            <w:r>
              <w:rPr>
                <w:rFonts w:hint="default" w:ascii="Times New Roman" w:hAnsi="Times New Roman" w:eastAsia="宋体" w:cs="Times New Roman"/>
                <w:b/>
                <w:bCs/>
                <w:snapToGrid w:val="0"/>
                <w:color w:val="auto"/>
                <w:spacing w:val="-6"/>
                <w:kern w:val="21"/>
                <w:sz w:val="24"/>
                <w:szCs w:val="24"/>
                <w:highlight w:val="none"/>
              </w:rPr>
              <w:t>排放量（固体废物产生量）</w:t>
            </w:r>
            <w:r>
              <w:rPr>
                <w:rFonts w:hint="default" w:ascii="Times New Roman" w:hAnsi="Times New Roman" w:eastAsia="宋体" w:cs="Times New Roman"/>
                <w:b/>
                <w:bCs/>
                <w:snapToGrid w:val="0"/>
                <w:color w:val="auto"/>
                <w:spacing w:val="-6"/>
                <w:kern w:val="21"/>
                <w:sz w:val="24"/>
                <w:szCs w:val="24"/>
                <w:highlight w:val="none"/>
              </w:rPr>
              <w:fldChar w:fldCharType="begin"/>
            </w:r>
            <w:r>
              <w:rPr>
                <w:rFonts w:hint="default" w:ascii="Times New Roman" w:hAnsi="Times New Roman" w:eastAsia="宋体" w:cs="Times New Roman"/>
                <w:b/>
                <w:bCs/>
                <w:snapToGrid w:val="0"/>
                <w:color w:val="auto"/>
                <w:spacing w:val="-6"/>
                <w:kern w:val="21"/>
                <w:sz w:val="24"/>
                <w:szCs w:val="24"/>
                <w:highlight w:val="none"/>
              </w:rPr>
              <w:instrText xml:space="preserve"> = 3 \* GB3 \* MERGEFORMAT </w:instrText>
            </w:r>
            <w:r>
              <w:rPr>
                <w:rFonts w:hint="default" w:ascii="Times New Roman" w:hAnsi="Times New Roman" w:eastAsia="宋体" w:cs="Times New Roman"/>
                <w:b/>
                <w:bCs/>
                <w:snapToGrid w:val="0"/>
                <w:color w:val="auto"/>
                <w:spacing w:val="-6"/>
                <w:kern w:val="21"/>
                <w:sz w:val="24"/>
                <w:szCs w:val="24"/>
                <w:highlight w:val="none"/>
              </w:rPr>
              <w:fldChar w:fldCharType="separate"/>
            </w:r>
            <w:r>
              <w:rPr>
                <w:rFonts w:hint="default" w:ascii="Times New Roman" w:hAnsi="Times New Roman" w:eastAsia="宋体" w:cs="Times New Roman"/>
                <w:b/>
                <w:bCs/>
                <w:color w:val="auto"/>
                <w:kern w:val="2"/>
                <w:sz w:val="24"/>
                <w:szCs w:val="24"/>
                <w:highlight w:val="none"/>
              </w:rPr>
              <w:t>③</w:t>
            </w:r>
            <w:r>
              <w:rPr>
                <w:rFonts w:hint="default" w:ascii="Times New Roman" w:hAnsi="Times New Roman" w:eastAsia="宋体" w:cs="Times New Roman"/>
                <w:b/>
                <w:bCs/>
                <w:snapToGrid w:val="0"/>
                <w:color w:val="auto"/>
                <w:spacing w:val="-6"/>
                <w:kern w:val="21"/>
                <w:sz w:val="24"/>
                <w:szCs w:val="24"/>
                <w:highlight w:val="none"/>
              </w:rPr>
              <w:fldChar w:fldCharType="end"/>
            </w:r>
          </w:p>
        </w:tc>
        <w:tc>
          <w:tcPr>
            <w:tcW w:w="1538" w:type="dxa"/>
            <w:tcMar>
              <w:left w:w="28" w:type="dxa"/>
              <w:right w:w="28" w:type="dxa"/>
            </w:tcMar>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snapToGrid w:val="0"/>
                <w:color w:val="auto"/>
                <w:spacing w:val="-6"/>
                <w:kern w:val="21"/>
                <w:sz w:val="24"/>
                <w:szCs w:val="24"/>
                <w:highlight w:val="none"/>
                <w:lang w:eastAsia="zh-CN"/>
              </w:rPr>
            </w:pPr>
            <w:r>
              <w:rPr>
                <w:rFonts w:hint="default" w:ascii="Times New Roman" w:hAnsi="Times New Roman" w:eastAsia="宋体" w:cs="Times New Roman"/>
                <w:b/>
                <w:bCs/>
                <w:snapToGrid w:val="0"/>
                <w:color w:val="auto"/>
                <w:spacing w:val="-6"/>
                <w:kern w:val="21"/>
                <w:sz w:val="24"/>
                <w:szCs w:val="24"/>
                <w:highlight w:val="none"/>
                <w:lang w:eastAsia="zh-CN"/>
              </w:rPr>
              <w:t>改建项目</w:t>
            </w:r>
          </w:p>
          <w:p>
            <w:pPr>
              <w:kinsoku/>
              <w:wordWrap/>
              <w:bidi w:val="0"/>
              <w:spacing w:line="240" w:lineRule="auto"/>
              <w:ind w:left="0" w:leftChars="0" w:right="0" w:rightChars="0" w:firstLine="0" w:firstLineChars="0"/>
              <w:jc w:val="center"/>
              <w:rPr>
                <w:rFonts w:hint="default" w:ascii="Times New Roman" w:hAnsi="Times New Roman" w:eastAsia="宋体" w:cs="Times New Roman"/>
                <w:b/>
                <w:bCs/>
                <w:snapToGrid w:val="0"/>
                <w:color w:val="auto"/>
                <w:spacing w:val="-6"/>
                <w:kern w:val="21"/>
                <w:sz w:val="24"/>
                <w:szCs w:val="24"/>
                <w:highlight w:val="none"/>
              </w:rPr>
            </w:pPr>
            <w:r>
              <w:rPr>
                <w:rFonts w:hint="default" w:ascii="Times New Roman" w:hAnsi="Times New Roman" w:eastAsia="宋体" w:cs="Times New Roman"/>
                <w:b/>
                <w:bCs/>
                <w:snapToGrid w:val="0"/>
                <w:color w:val="auto"/>
                <w:spacing w:val="-6"/>
                <w:kern w:val="21"/>
                <w:sz w:val="24"/>
                <w:szCs w:val="24"/>
                <w:highlight w:val="none"/>
              </w:rPr>
              <w:t>排放量（固体废物产生量）</w:t>
            </w:r>
            <w:r>
              <w:rPr>
                <w:rFonts w:hint="default" w:ascii="Times New Roman" w:hAnsi="Times New Roman" w:eastAsia="宋体" w:cs="Times New Roman"/>
                <w:b/>
                <w:bCs/>
                <w:snapToGrid w:val="0"/>
                <w:color w:val="auto"/>
                <w:spacing w:val="-6"/>
                <w:kern w:val="21"/>
                <w:sz w:val="24"/>
                <w:szCs w:val="24"/>
                <w:highlight w:val="none"/>
              </w:rPr>
              <w:fldChar w:fldCharType="begin"/>
            </w:r>
            <w:r>
              <w:rPr>
                <w:rFonts w:hint="default" w:ascii="Times New Roman" w:hAnsi="Times New Roman" w:eastAsia="宋体" w:cs="Times New Roman"/>
                <w:b/>
                <w:bCs/>
                <w:snapToGrid w:val="0"/>
                <w:color w:val="auto"/>
                <w:spacing w:val="-6"/>
                <w:kern w:val="21"/>
                <w:sz w:val="24"/>
                <w:szCs w:val="24"/>
                <w:highlight w:val="none"/>
              </w:rPr>
              <w:instrText xml:space="preserve"> = 4 \* GB3 \* MERGEFORMAT </w:instrText>
            </w:r>
            <w:r>
              <w:rPr>
                <w:rFonts w:hint="default" w:ascii="Times New Roman" w:hAnsi="Times New Roman" w:eastAsia="宋体" w:cs="Times New Roman"/>
                <w:b/>
                <w:bCs/>
                <w:snapToGrid w:val="0"/>
                <w:color w:val="auto"/>
                <w:spacing w:val="-6"/>
                <w:kern w:val="21"/>
                <w:sz w:val="24"/>
                <w:szCs w:val="24"/>
                <w:highlight w:val="none"/>
              </w:rPr>
              <w:fldChar w:fldCharType="separate"/>
            </w:r>
            <w:r>
              <w:rPr>
                <w:rFonts w:hint="default" w:ascii="Times New Roman" w:hAnsi="Times New Roman" w:eastAsia="宋体" w:cs="Times New Roman"/>
                <w:b/>
                <w:bCs/>
                <w:color w:val="auto"/>
                <w:kern w:val="2"/>
                <w:sz w:val="24"/>
                <w:szCs w:val="24"/>
                <w:highlight w:val="none"/>
              </w:rPr>
              <w:t>④</w:t>
            </w:r>
            <w:r>
              <w:rPr>
                <w:rFonts w:hint="default" w:ascii="Times New Roman" w:hAnsi="Times New Roman" w:eastAsia="宋体" w:cs="Times New Roman"/>
                <w:b/>
                <w:bCs/>
                <w:snapToGrid w:val="0"/>
                <w:color w:val="auto"/>
                <w:spacing w:val="-6"/>
                <w:kern w:val="21"/>
                <w:sz w:val="24"/>
                <w:szCs w:val="24"/>
                <w:highlight w:val="none"/>
              </w:rPr>
              <w:fldChar w:fldCharType="end"/>
            </w:r>
          </w:p>
        </w:tc>
        <w:tc>
          <w:tcPr>
            <w:tcW w:w="1444" w:type="dxa"/>
            <w:tcMar>
              <w:left w:w="28" w:type="dxa"/>
              <w:right w:w="28" w:type="dxa"/>
            </w:tcMar>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snapToGrid w:val="0"/>
                <w:color w:val="auto"/>
                <w:spacing w:val="-16"/>
                <w:kern w:val="21"/>
                <w:sz w:val="24"/>
                <w:szCs w:val="24"/>
                <w:highlight w:val="none"/>
              </w:rPr>
            </w:pPr>
            <w:r>
              <w:rPr>
                <w:rFonts w:hint="default" w:ascii="Times New Roman" w:hAnsi="Times New Roman" w:eastAsia="宋体" w:cs="Times New Roman"/>
                <w:b/>
                <w:bCs/>
                <w:snapToGrid w:val="0"/>
                <w:color w:val="auto"/>
                <w:spacing w:val="-16"/>
                <w:kern w:val="21"/>
                <w:sz w:val="24"/>
                <w:szCs w:val="24"/>
                <w:highlight w:val="none"/>
              </w:rPr>
              <w:t>以新带老削减量（新建项目不填）</w:t>
            </w:r>
            <w:r>
              <w:rPr>
                <w:rFonts w:hint="default" w:ascii="Times New Roman" w:hAnsi="Times New Roman" w:eastAsia="宋体" w:cs="Times New Roman"/>
                <w:b/>
                <w:bCs/>
                <w:snapToGrid w:val="0"/>
                <w:color w:val="auto"/>
                <w:spacing w:val="-16"/>
                <w:kern w:val="21"/>
                <w:sz w:val="24"/>
                <w:szCs w:val="24"/>
                <w:highlight w:val="none"/>
              </w:rPr>
              <w:fldChar w:fldCharType="begin"/>
            </w:r>
            <w:r>
              <w:rPr>
                <w:rFonts w:hint="default" w:ascii="Times New Roman" w:hAnsi="Times New Roman" w:eastAsia="宋体" w:cs="Times New Roman"/>
                <w:b/>
                <w:bCs/>
                <w:snapToGrid w:val="0"/>
                <w:color w:val="auto"/>
                <w:spacing w:val="-16"/>
                <w:kern w:val="21"/>
                <w:sz w:val="24"/>
                <w:szCs w:val="24"/>
                <w:highlight w:val="none"/>
              </w:rPr>
              <w:instrText xml:space="preserve"> = 5 \* GB3 \* MERGEFORMAT </w:instrText>
            </w:r>
            <w:r>
              <w:rPr>
                <w:rFonts w:hint="default" w:ascii="Times New Roman" w:hAnsi="Times New Roman" w:eastAsia="宋体" w:cs="Times New Roman"/>
                <w:b/>
                <w:bCs/>
                <w:snapToGrid w:val="0"/>
                <w:color w:val="auto"/>
                <w:spacing w:val="-16"/>
                <w:kern w:val="21"/>
                <w:sz w:val="24"/>
                <w:szCs w:val="24"/>
                <w:highlight w:val="none"/>
              </w:rPr>
              <w:fldChar w:fldCharType="separate"/>
            </w:r>
            <w:r>
              <w:rPr>
                <w:rFonts w:hint="default" w:ascii="Times New Roman" w:hAnsi="Times New Roman" w:eastAsia="宋体" w:cs="Times New Roman"/>
                <w:b/>
                <w:bCs/>
                <w:color w:val="auto"/>
                <w:kern w:val="2"/>
                <w:sz w:val="24"/>
                <w:szCs w:val="24"/>
                <w:highlight w:val="none"/>
              </w:rPr>
              <w:t>⑤</w:t>
            </w:r>
            <w:r>
              <w:rPr>
                <w:rFonts w:hint="default" w:ascii="Times New Roman" w:hAnsi="Times New Roman" w:eastAsia="宋体" w:cs="Times New Roman"/>
                <w:b/>
                <w:bCs/>
                <w:snapToGrid w:val="0"/>
                <w:color w:val="auto"/>
                <w:spacing w:val="-16"/>
                <w:kern w:val="21"/>
                <w:sz w:val="24"/>
                <w:szCs w:val="24"/>
                <w:highlight w:val="none"/>
              </w:rPr>
              <w:fldChar w:fldCharType="end"/>
            </w:r>
          </w:p>
        </w:tc>
        <w:tc>
          <w:tcPr>
            <w:tcW w:w="1669" w:type="dxa"/>
            <w:tcMar>
              <w:left w:w="28" w:type="dxa"/>
              <w:right w:w="28" w:type="dxa"/>
            </w:tcMar>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snapToGrid w:val="0"/>
                <w:color w:val="auto"/>
                <w:spacing w:val="-16"/>
                <w:kern w:val="21"/>
                <w:sz w:val="24"/>
                <w:szCs w:val="24"/>
                <w:highlight w:val="none"/>
              </w:rPr>
            </w:pPr>
            <w:r>
              <w:rPr>
                <w:rFonts w:hint="default" w:ascii="Times New Roman" w:hAnsi="Times New Roman" w:eastAsia="宋体" w:cs="Times New Roman"/>
                <w:b/>
                <w:bCs/>
                <w:snapToGrid w:val="0"/>
                <w:color w:val="auto"/>
                <w:spacing w:val="-16"/>
                <w:kern w:val="21"/>
                <w:sz w:val="24"/>
                <w:szCs w:val="24"/>
                <w:highlight w:val="none"/>
                <w:lang w:eastAsia="zh-CN"/>
              </w:rPr>
              <w:t>改建项目</w:t>
            </w:r>
            <w:r>
              <w:rPr>
                <w:rFonts w:hint="default" w:ascii="Times New Roman" w:hAnsi="Times New Roman" w:eastAsia="宋体" w:cs="Times New Roman"/>
                <w:b/>
                <w:bCs/>
                <w:snapToGrid w:val="0"/>
                <w:color w:val="auto"/>
                <w:spacing w:val="-16"/>
                <w:kern w:val="21"/>
                <w:sz w:val="24"/>
                <w:szCs w:val="24"/>
                <w:highlight w:val="none"/>
              </w:rPr>
              <w:t>建成后</w:t>
            </w:r>
          </w:p>
          <w:p>
            <w:pPr>
              <w:kinsoku/>
              <w:wordWrap/>
              <w:bidi w:val="0"/>
              <w:spacing w:line="240" w:lineRule="auto"/>
              <w:ind w:left="0" w:leftChars="0" w:right="0" w:rightChars="0" w:firstLine="0" w:firstLineChars="0"/>
              <w:jc w:val="center"/>
              <w:rPr>
                <w:rFonts w:hint="default" w:ascii="Times New Roman" w:hAnsi="Times New Roman" w:eastAsia="宋体" w:cs="Times New Roman"/>
                <w:b/>
                <w:bCs/>
                <w:snapToGrid w:val="0"/>
                <w:color w:val="auto"/>
                <w:spacing w:val="-16"/>
                <w:kern w:val="21"/>
                <w:sz w:val="24"/>
                <w:szCs w:val="24"/>
                <w:highlight w:val="none"/>
              </w:rPr>
            </w:pPr>
            <w:r>
              <w:rPr>
                <w:rFonts w:hint="default" w:ascii="Times New Roman" w:hAnsi="Times New Roman" w:eastAsia="宋体" w:cs="Times New Roman"/>
                <w:b/>
                <w:bCs/>
                <w:snapToGrid w:val="0"/>
                <w:color w:val="auto"/>
                <w:spacing w:val="-16"/>
                <w:kern w:val="21"/>
                <w:sz w:val="24"/>
                <w:szCs w:val="24"/>
                <w:highlight w:val="none"/>
              </w:rPr>
              <w:t>全厂排放量（固体废物产生量）</w:t>
            </w:r>
            <w:r>
              <w:rPr>
                <w:rFonts w:hint="default" w:ascii="Times New Roman" w:hAnsi="Times New Roman" w:eastAsia="宋体" w:cs="Times New Roman"/>
                <w:b/>
                <w:bCs/>
                <w:snapToGrid w:val="0"/>
                <w:color w:val="auto"/>
                <w:spacing w:val="-16"/>
                <w:kern w:val="21"/>
                <w:sz w:val="24"/>
                <w:szCs w:val="24"/>
                <w:highlight w:val="none"/>
              </w:rPr>
              <w:fldChar w:fldCharType="begin"/>
            </w:r>
            <w:r>
              <w:rPr>
                <w:rFonts w:hint="default" w:ascii="Times New Roman" w:hAnsi="Times New Roman" w:eastAsia="宋体" w:cs="Times New Roman"/>
                <w:b/>
                <w:bCs/>
                <w:snapToGrid w:val="0"/>
                <w:color w:val="auto"/>
                <w:spacing w:val="-16"/>
                <w:kern w:val="21"/>
                <w:sz w:val="24"/>
                <w:szCs w:val="24"/>
                <w:highlight w:val="none"/>
              </w:rPr>
              <w:instrText xml:space="preserve"> = 6 \* GB3 \* MERGEFORMAT </w:instrText>
            </w:r>
            <w:r>
              <w:rPr>
                <w:rFonts w:hint="default" w:ascii="Times New Roman" w:hAnsi="Times New Roman" w:eastAsia="宋体" w:cs="Times New Roman"/>
                <w:b/>
                <w:bCs/>
                <w:snapToGrid w:val="0"/>
                <w:color w:val="auto"/>
                <w:spacing w:val="-16"/>
                <w:kern w:val="21"/>
                <w:sz w:val="24"/>
                <w:szCs w:val="24"/>
                <w:highlight w:val="none"/>
              </w:rPr>
              <w:fldChar w:fldCharType="separate"/>
            </w:r>
            <w:r>
              <w:rPr>
                <w:rFonts w:hint="default" w:ascii="Times New Roman" w:hAnsi="Times New Roman" w:eastAsia="宋体" w:cs="Times New Roman"/>
                <w:b/>
                <w:bCs/>
                <w:color w:val="auto"/>
                <w:kern w:val="2"/>
                <w:sz w:val="24"/>
                <w:szCs w:val="24"/>
                <w:highlight w:val="none"/>
              </w:rPr>
              <w:t>⑥</w:t>
            </w:r>
            <w:r>
              <w:rPr>
                <w:rFonts w:hint="default" w:ascii="Times New Roman" w:hAnsi="Times New Roman" w:eastAsia="宋体" w:cs="Times New Roman"/>
                <w:b/>
                <w:bCs/>
                <w:snapToGrid w:val="0"/>
                <w:color w:val="auto"/>
                <w:spacing w:val="-16"/>
                <w:kern w:val="21"/>
                <w:sz w:val="24"/>
                <w:szCs w:val="24"/>
                <w:highlight w:val="none"/>
              </w:rPr>
              <w:fldChar w:fldCharType="end"/>
            </w:r>
          </w:p>
        </w:tc>
        <w:tc>
          <w:tcPr>
            <w:tcW w:w="1374" w:type="dxa"/>
            <w:tcMar>
              <w:left w:w="28" w:type="dxa"/>
              <w:right w:w="28" w:type="dxa"/>
            </w:tcMar>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snapToGrid w:val="0"/>
                <w:color w:val="auto"/>
                <w:spacing w:val="-6"/>
                <w:kern w:val="21"/>
                <w:sz w:val="24"/>
                <w:szCs w:val="24"/>
                <w:highlight w:val="none"/>
              </w:rPr>
            </w:pPr>
            <w:r>
              <w:rPr>
                <w:rFonts w:hint="default" w:ascii="Times New Roman" w:hAnsi="Times New Roman" w:eastAsia="宋体" w:cs="Times New Roman"/>
                <w:b/>
                <w:bCs/>
                <w:snapToGrid w:val="0"/>
                <w:color w:val="auto"/>
                <w:spacing w:val="-6"/>
                <w:kern w:val="21"/>
                <w:sz w:val="24"/>
                <w:szCs w:val="24"/>
                <w:highlight w:val="none"/>
              </w:rPr>
              <w:t>变化量</w:t>
            </w:r>
          </w:p>
          <w:p>
            <w:pPr>
              <w:kinsoku/>
              <w:wordWrap/>
              <w:bidi w:val="0"/>
              <w:spacing w:line="240" w:lineRule="auto"/>
              <w:ind w:left="0" w:leftChars="0" w:right="0" w:rightChars="0" w:firstLine="0" w:firstLineChars="0"/>
              <w:jc w:val="center"/>
              <w:rPr>
                <w:rFonts w:hint="default" w:ascii="Times New Roman" w:hAnsi="Times New Roman" w:eastAsia="宋体" w:cs="Times New Roman"/>
                <w:b/>
                <w:bCs/>
                <w:snapToGrid w:val="0"/>
                <w:color w:val="auto"/>
                <w:spacing w:val="-6"/>
                <w:kern w:val="21"/>
                <w:sz w:val="24"/>
                <w:szCs w:val="24"/>
                <w:highlight w:val="none"/>
              </w:rPr>
            </w:pPr>
            <w:r>
              <w:rPr>
                <w:rFonts w:hint="default" w:ascii="Times New Roman" w:hAnsi="Times New Roman" w:eastAsia="宋体" w:cs="Times New Roman"/>
                <w:b/>
                <w:bCs/>
                <w:snapToGrid w:val="0"/>
                <w:color w:val="auto"/>
                <w:spacing w:val="-6"/>
                <w:kern w:val="21"/>
                <w:sz w:val="24"/>
                <w:szCs w:val="24"/>
                <w:highlight w:val="none"/>
              </w:rPr>
              <w:fldChar w:fldCharType="begin"/>
            </w:r>
            <w:r>
              <w:rPr>
                <w:rFonts w:hint="default" w:ascii="Times New Roman" w:hAnsi="Times New Roman" w:eastAsia="宋体" w:cs="Times New Roman"/>
                <w:b/>
                <w:bCs/>
                <w:snapToGrid w:val="0"/>
                <w:color w:val="auto"/>
                <w:spacing w:val="-6"/>
                <w:kern w:val="21"/>
                <w:sz w:val="24"/>
                <w:szCs w:val="24"/>
                <w:highlight w:val="none"/>
              </w:rPr>
              <w:instrText xml:space="preserve"> = 7 \* GB3 \* MERGEFORMAT </w:instrText>
            </w:r>
            <w:r>
              <w:rPr>
                <w:rFonts w:hint="default" w:ascii="Times New Roman" w:hAnsi="Times New Roman" w:eastAsia="宋体" w:cs="Times New Roman"/>
                <w:b/>
                <w:bCs/>
                <w:snapToGrid w:val="0"/>
                <w:color w:val="auto"/>
                <w:spacing w:val="-6"/>
                <w:kern w:val="21"/>
                <w:sz w:val="24"/>
                <w:szCs w:val="24"/>
                <w:highlight w:val="none"/>
              </w:rPr>
              <w:fldChar w:fldCharType="separate"/>
            </w:r>
            <w:r>
              <w:rPr>
                <w:rFonts w:hint="default" w:ascii="Times New Roman" w:hAnsi="Times New Roman" w:eastAsia="宋体" w:cs="Times New Roman"/>
                <w:b/>
                <w:bCs/>
                <w:color w:val="auto"/>
                <w:kern w:val="2"/>
                <w:sz w:val="24"/>
                <w:szCs w:val="24"/>
                <w:highlight w:val="none"/>
              </w:rPr>
              <w:t>⑦</w:t>
            </w:r>
            <w:r>
              <w:rPr>
                <w:rFonts w:hint="default" w:ascii="Times New Roman" w:hAnsi="Times New Roman" w:eastAsia="宋体" w:cs="Times New Roman"/>
                <w:b/>
                <w:bCs/>
                <w:snapToGrid w:val="0"/>
                <w:color w:val="auto"/>
                <w:spacing w:val="-6"/>
                <w:kern w:val="21"/>
                <w:sz w:val="24"/>
                <w:szCs w:val="24"/>
                <w:highlight w:val="none"/>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384" w:type="dxa"/>
            <w:vMerge w:val="restart"/>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snapToGrid w:val="0"/>
                <w:color w:val="auto"/>
                <w:kern w:val="21"/>
                <w:sz w:val="24"/>
                <w:szCs w:val="24"/>
                <w:highlight w:val="none"/>
              </w:rPr>
            </w:pPr>
            <w:r>
              <w:rPr>
                <w:rFonts w:hint="default" w:ascii="Times New Roman" w:hAnsi="Times New Roman" w:eastAsia="宋体" w:cs="Times New Roman"/>
                <w:b/>
                <w:bCs/>
                <w:snapToGrid w:val="0"/>
                <w:color w:val="auto"/>
                <w:kern w:val="21"/>
                <w:sz w:val="24"/>
                <w:szCs w:val="24"/>
                <w:highlight w:val="none"/>
              </w:rPr>
              <w:t>废气</w:t>
            </w:r>
          </w:p>
        </w:tc>
        <w:tc>
          <w:tcPr>
            <w:tcW w:w="1582" w:type="dxa"/>
            <w:vAlign w:val="center"/>
          </w:tcPr>
          <w:p>
            <w:pPr>
              <w:pStyle w:val="2"/>
              <w:kinsoku/>
              <w:wordWrap/>
              <w:bidi w:val="0"/>
              <w:spacing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color w:val="auto"/>
                <w:sz w:val="24"/>
                <w:szCs w:val="24"/>
                <w:highlight w:val="none"/>
                <w:lang w:eastAsia="zh-CN"/>
              </w:rPr>
              <w:t>颗粒物</w:t>
            </w:r>
          </w:p>
        </w:tc>
        <w:tc>
          <w:tcPr>
            <w:tcW w:w="1678"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0.871</w:t>
            </w:r>
            <w:r>
              <w:rPr>
                <w:rFonts w:hint="default" w:ascii="Times New Roman" w:hAnsi="Times New Roman" w:eastAsia="宋体" w:cs="Times New Roman"/>
                <w:bCs/>
                <w:color w:val="auto"/>
                <w:spacing w:val="0"/>
                <w:sz w:val="24"/>
                <w:szCs w:val="24"/>
                <w:highlight w:val="none"/>
                <w:lang w:val="en-US" w:eastAsia="zh-CN"/>
              </w:rPr>
              <w:t>t/a</w:t>
            </w:r>
          </w:p>
        </w:tc>
        <w:tc>
          <w:tcPr>
            <w:tcW w:w="1278" w:type="dxa"/>
            <w:vAlign w:val="center"/>
          </w:tcPr>
          <w:p>
            <w:pPr>
              <w:kinsoku/>
              <w:wordWrap/>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w:t>
            </w:r>
          </w:p>
        </w:tc>
        <w:tc>
          <w:tcPr>
            <w:tcW w:w="1659" w:type="dxa"/>
            <w:vAlign w:val="center"/>
          </w:tcPr>
          <w:p>
            <w:pPr>
              <w:kinsoku/>
              <w:wordWrap/>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rPr>
              <w:t>/</w:t>
            </w:r>
          </w:p>
        </w:tc>
        <w:tc>
          <w:tcPr>
            <w:tcW w:w="1538"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4"/>
                <w:szCs w:val="24"/>
                <w:highlight w:val="none"/>
                <w:lang w:val="en-US" w:eastAsia="zh-CN" w:bidi="ar-SA"/>
              </w:rPr>
            </w:pPr>
            <w:r>
              <w:rPr>
                <w:rFonts w:hint="eastAsia" w:cs="Times New Roman"/>
                <w:bCs/>
                <w:color w:val="auto"/>
                <w:spacing w:val="0"/>
                <w:sz w:val="24"/>
                <w:szCs w:val="24"/>
                <w:highlight w:val="none"/>
                <w:lang w:val="en-US" w:eastAsia="zh-CN"/>
              </w:rPr>
              <w:t>0.161</w:t>
            </w:r>
            <w:r>
              <w:rPr>
                <w:rFonts w:hint="default" w:ascii="Times New Roman" w:hAnsi="Times New Roman" w:eastAsia="宋体" w:cs="Times New Roman"/>
                <w:bCs/>
                <w:color w:val="auto"/>
                <w:spacing w:val="0"/>
                <w:sz w:val="24"/>
                <w:szCs w:val="24"/>
                <w:highlight w:val="none"/>
                <w:lang w:val="en-US" w:eastAsia="zh-CN"/>
              </w:rPr>
              <w:t>t/a</w:t>
            </w:r>
          </w:p>
        </w:tc>
        <w:tc>
          <w:tcPr>
            <w:tcW w:w="1444"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4"/>
                <w:szCs w:val="24"/>
                <w:highlight w:val="none"/>
                <w:lang w:val="en-US" w:eastAsia="zh-CN" w:bidi="ar-SA"/>
              </w:rPr>
            </w:pPr>
            <w:r>
              <w:rPr>
                <w:rFonts w:hint="default" w:ascii="Times New Roman" w:hAnsi="Times New Roman" w:eastAsia="宋体" w:cs="Times New Roman"/>
                <w:bCs/>
                <w:color w:val="auto"/>
                <w:spacing w:val="0"/>
                <w:sz w:val="24"/>
                <w:szCs w:val="24"/>
                <w:highlight w:val="none"/>
                <w:lang w:val="en-US" w:eastAsia="zh-CN"/>
              </w:rPr>
              <w:t>0.581t/a</w:t>
            </w:r>
          </w:p>
        </w:tc>
        <w:tc>
          <w:tcPr>
            <w:tcW w:w="1669"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4"/>
                <w:szCs w:val="24"/>
                <w:highlight w:val="none"/>
                <w:lang w:val="en-US" w:eastAsia="zh-CN" w:bidi="ar-SA"/>
              </w:rPr>
            </w:pPr>
            <w:r>
              <w:rPr>
                <w:rFonts w:hint="eastAsia" w:cs="Times New Roman"/>
                <w:bCs/>
                <w:color w:val="auto"/>
                <w:spacing w:val="0"/>
                <w:sz w:val="24"/>
                <w:szCs w:val="24"/>
                <w:highlight w:val="none"/>
                <w:lang w:val="en-US" w:eastAsia="zh-CN"/>
              </w:rPr>
              <w:t>0.451</w:t>
            </w:r>
            <w:r>
              <w:rPr>
                <w:rFonts w:hint="default" w:ascii="Times New Roman" w:hAnsi="Times New Roman" w:eastAsia="宋体" w:cs="Times New Roman"/>
                <w:bCs/>
                <w:color w:val="auto"/>
                <w:spacing w:val="0"/>
                <w:sz w:val="24"/>
                <w:szCs w:val="24"/>
                <w:highlight w:val="none"/>
                <w:lang w:val="en-US" w:eastAsia="zh-CN"/>
              </w:rPr>
              <w:t>t/a</w:t>
            </w:r>
          </w:p>
        </w:tc>
        <w:tc>
          <w:tcPr>
            <w:tcW w:w="1374"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4"/>
                <w:szCs w:val="24"/>
                <w:highlight w:val="none"/>
                <w:lang w:val="en-US" w:eastAsia="zh-CN" w:bidi="ar-SA"/>
              </w:rPr>
            </w:pPr>
            <w:r>
              <w:rPr>
                <w:rFonts w:hint="default" w:ascii="Times New Roman" w:hAnsi="Times New Roman" w:eastAsia="宋体" w:cs="Times New Roman"/>
                <w:bCs/>
                <w:color w:val="auto"/>
                <w:spacing w:val="0"/>
                <w:sz w:val="24"/>
                <w:szCs w:val="24"/>
                <w:highlight w:val="none"/>
                <w:lang w:val="en-US" w:eastAsia="zh-CN"/>
              </w:rPr>
              <w:t>-</w:t>
            </w:r>
            <w:r>
              <w:rPr>
                <w:rFonts w:hint="eastAsia" w:cs="Times New Roman"/>
                <w:bCs/>
                <w:color w:val="auto"/>
                <w:spacing w:val="0"/>
                <w:sz w:val="24"/>
                <w:szCs w:val="24"/>
                <w:highlight w:val="none"/>
                <w:lang w:val="en-US" w:eastAsia="zh-CN"/>
              </w:rPr>
              <w:t>0.42</w:t>
            </w:r>
            <w:r>
              <w:rPr>
                <w:rFonts w:hint="default" w:ascii="Times New Roman" w:hAnsi="Times New Roman" w:eastAsia="宋体" w:cs="Times New Roman"/>
                <w:bCs/>
                <w:color w:val="auto"/>
                <w:spacing w:val="0"/>
                <w:sz w:val="24"/>
                <w:szCs w:val="24"/>
                <w:highlight w:val="none"/>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384" w:type="dxa"/>
            <w:vMerge w:val="continue"/>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snapToGrid w:val="0"/>
                <w:color w:val="auto"/>
                <w:kern w:val="21"/>
                <w:sz w:val="24"/>
                <w:szCs w:val="24"/>
                <w:highlight w:val="none"/>
              </w:rPr>
            </w:pPr>
          </w:p>
        </w:tc>
        <w:tc>
          <w:tcPr>
            <w:tcW w:w="1582" w:type="dxa"/>
            <w:vAlign w:val="center"/>
          </w:tcPr>
          <w:p>
            <w:pPr>
              <w:pStyle w:val="2"/>
              <w:kinsoku/>
              <w:wordWrap/>
              <w:bidi w:val="0"/>
              <w:spacing w:line="240" w:lineRule="auto"/>
              <w:ind w:left="0" w:leftChars="0" w:right="0" w:rightChars="0" w:firstLine="0" w:firstLineChars="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二氧化硫</w:t>
            </w:r>
          </w:p>
        </w:tc>
        <w:tc>
          <w:tcPr>
            <w:tcW w:w="1678"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2.851</w:t>
            </w:r>
            <w:r>
              <w:rPr>
                <w:rFonts w:hint="default" w:ascii="Times New Roman" w:hAnsi="Times New Roman" w:eastAsia="宋体" w:cs="Times New Roman"/>
                <w:bCs/>
                <w:color w:val="auto"/>
                <w:spacing w:val="0"/>
                <w:sz w:val="24"/>
                <w:szCs w:val="24"/>
                <w:highlight w:val="none"/>
                <w:lang w:val="en-US" w:eastAsia="zh-CN"/>
              </w:rPr>
              <w:t>t/a</w:t>
            </w:r>
          </w:p>
        </w:tc>
        <w:tc>
          <w:tcPr>
            <w:tcW w:w="1278" w:type="dxa"/>
            <w:vAlign w:val="center"/>
          </w:tcPr>
          <w:p>
            <w:pPr>
              <w:kinsoku/>
              <w:wordWrap/>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w:t>
            </w:r>
          </w:p>
        </w:tc>
        <w:tc>
          <w:tcPr>
            <w:tcW w:w="1659" w:type="dxa"/>
            <w:vAlign w:val="center"/>
          </w:tcPr>
          <w:p>
            <w:pPr>
              <w:kinsoku/>
              <w:wordWrap/>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rPr>
              <w:t>/</w:t>
            </w:r>
          </w:p>
        </w:tc>
        <w:tc>
          <w:tcPr>
            <w:tcW w:w="1538"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4"/>
                <w:szCs w:val="24"/>
                <w:highlight w:val="none"/>
                <w:lang w:val="en-US" w:eastAsia="zh-CN" w:bidi="ar-SA"/>
              </w:rPr>
            </w:pPr>
            <w:r>
              <w:rPr>
                <w:rFonts w:hint="eastAsia" w:cs="Times New Roman"/>
                <w:bCs/>
                <w:color w:val="auto"/>
                <w:spacing w:val="0"/>
                <w:sz w:val="24"/>
                <w:szCs w:val="24"/>
                <w:highlight w:val="none"/>
                <w:lang w:val="en-US" w:eastAsia="zh-CN"/>
              </w:rPr>
              <w:t>1.836</w:t>
            </w:r>
            <w:r>
              <w:rPr>
                <w:rFonts w:hint="default" w:ascii="Times New Roman" w:hAnsi="Times New Roman" w:eastAsia="宋体" w:cs="Times New Roman"/>
                <w:bCs/>
                <w:color w:val="auto"/>
                <w:spacing w:val="0"/>
                <w:sz w:val="24"/>
                <w:szCs w:val="24"/>
                <w:highlight w:val="none"/>
                <w:lang w:val="en-US" w:eastAsia="zh-CN"/>
              </w:rPr>
              <w:t>t/a</w:t>
            </w:r>
          </w:p>
        </w:tc>
        <w:tc>
          <w:tcPr>
            <w:tcW w:w="1444"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4"/>
                <w:szCs w:val="24"/>
                <w:highlight w:val="none"/>
                <w:lang w:val="en-US" w:eastAsia="zh-CN" w:bidi="ar-SA"/>
              </w:rPr>
            </w:pPr>
            <w:r>
              <w:rPr>
                <w:rFonts w:hint="default" w:ascii="Times New Roman" w:hAnsi="Times New Roman" w:eastAsia="宋体" w:cs="Times New Roman"/>
                <w:bCs/>
                <w:color w:val="auto"/>
                <w:spacing w:val="0"/>
                <w:sz w:val="24"/>
                <w:szCs w:val="24"/>
                <w:highlight w:val="none"/>
                <w:lang w:val="en-US" w:eastAsia="zh-CN"/>
              </w:rPr>
              <w:t>1.901t/a</w:t>
            </w:r>
          </w:p>
        </w:tc>
        <w:tc>
          <w:tcPr>
            <w:tcW w:w="1669"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4"/>
                <w:szCs w:val="24"/>
                <w:highlight w:val="none"/>
                <w:lang w:val="en-US" w:eastAsia="zh-CN" w:bidi="ar-SA"/>
              </w:rPr>
            </w:pPr>
            <w:r>
              <w:rPr>
                <w:rFonts w:hint="eastAsia" w:cs="Times New Roman"/>
                <w:bCs/>
                <w:color w:val="auto"/>
                <w:spacing w:val="0"/>
                <w:sz w:val="24"/>
                <w:szCs w:val="24"/>
                <w:highlight w:val="none"/>
                <w:lang w:val="en-US" w:eastAsia="zh-CN"/>
              </w:rPr>
              <w:t>2.786</w:t>
            </w:r>
            <w:r>
              <w:rPr>
                <w:rFonts w:hint="default" w:ascii="Times New Roman" w:hAnsi="Times New Roman" w:eastAsia="宋体" w:cs="Times New Roman"/>
                <w:bCs/>
                <w:color w:val="auto"/>
                <w:spacing w:val="0"/>
                <w:sz w:val="24"/>
                <w:szCs w:val="24"/>
                <w:highlight w:val="none"/>
                <w:lang w:val="en-US" w:eastAsia="zh-CN"/>
              </w:rPr>
              <w:t>t/a</w:t>
            </w:r>
          </w:p>
        </w:tc>
        <w:tc>
          <w:tcPr>
            <w:tcW w:w="1374"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4"/>
                <w:szCs w:val="24"/>
                <w:highlight w:val="none"/>
                <w:lang w:val="en-US" w:eastAsia="zh-CN" w:bidi="ar-SA"/>
              </w:rPr>
            </w:pPr>
            <w:r>
              <w:rPr>
                <w:rFonts w:hint="default" w:ascii="Times New Roman" w:hAnsi="Times New Roman" w:eastAsia="宋体" w:cs="Times New Roman"/>
                <w:bCs/>
                <w:color w:val="auto"/>
                <w:spacing w:val="0"/>
                <w:sz w:val="24"/>
                <w:szCs w:val="24"/>
                <w:highlight w:val="none"/>
                <w:lang w:val="en-US" w:eastAsia="zh-CN"/>
              </w:rPr>
              <w:t>-</w:t>
            </w:r>
            <w:r>
              <w:rPr>
                <w:rFonts w:hint="eastAsia" w:cs="Times New Roman"/>
                <w:bCs/>
                <w:color w:val="auto"/>
                <w:spacing w:val="0"/>
                <w:sz w:val="24"/>
                <w:szCs w:val="24"/>
                <w:highlight w:val="none"/>
                <w:lang w:val="en-US" w:eastAsia="zh-CN"/>
              </w:rPr>
              <w:t>0.065</w:t>
            </w:r>
            <w:r>
              <w:rPr>
                <w:rFonts w:hint="default" w:ascii="Times New Roman" w:hAnsi="Times New Roman" w:eastAsia="宋体" w:cs="Times New Roman"/>
                <w:bCs/>
                <w:color w:val="auto"/>
                <w:spacing w:val="0"/>
                <w:sz w:val="24"/>
                <w:szCs w:val="24"/>
                <w:highlight w:val="none"/>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384" w:type="dxa"/>
            <w:vMerge w:val="continue"/>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snapToGrid w:val="0"/>
                <w:color w:val="auto"/>
                <w:kern w:val="21"/>
                <w:sz w:val="24"/>
                <w:szCs w:val="24"/>
                <w:highlight w:val="none"/>
              </w:rPr>
            </w:pPr>
          </w:p>
        </w:tc>
        <w:tc>
          <w:tcPr>
            <w:tcW w:w="1582" w:type="dxa"/>
            <w:vAlign w:val="center"/>
          </w:tcPr>
          <w:p>
            <w:pPr>
              <w:pStyle w:val="2"/>
              <w:kinsoku/>
              <w:wordWrap/>
              <w:bidi w:val="0"/>
              <w:spacing w:line="240" w:lineRule="auto"/>
              <w:ind w:left="0" w:leftChars="0" w:right="0" w:rightChars="0" w:firstLine="0" w:firstLineChars="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氮氧化物</w:t>
            </w:r>
          </w:p>
        </w:tc>
        <w:tc>
          <w:tcPr>
            <w:tcW w:w="1678"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4.277</w:t>
            </w:r>
            <w:r>
              <w:rPr>
                <w:rFonts w:hint="default" w:ascii="Times New Roman" w:hAnsi="Times New Roman" w:eastAsia="宋体" w:cs="Times New Roman"/>
                <w:bCs/>
                <w:color w:val="auto"/>
                <w:spacing w:val="0"/>
                <w:sz w:val="24"/>
                <w:szCs w:val="24"/>
                <w:highlight w:val="none"/>
                <w:lang w:val="en-US" w:eastAsia="zh-CN"/>
              </w:rPr>
              <w:t>t/a</w:t>
            </w:r>
          </w:p>
        </w:tc>
        <w:tc>
          <w:tcPr>
            <w:tcW w:w="1278" w:type="dxa"/>
            <w:vAlign w:val="center"/>
          </w:tcPr>
          <w:p>
            <w:pPr>
              <w:kinsoku/>
              <w:wordWrap/>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w:t>
            </w:r>
          </w:p>
        </w:tc>
        <w:tc>
          <w:tcPr>
            <w:tcW w:w="1659" w:type="dxa"/>
            <w:vAlign w:val="center"/>
          </w:tcPr>
          <w:p>
            <w:pPr>
              <w:kinsoku/>
              <w:wordWrap/>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rPr>
              <w:t>/</w:t>
            </w:r>
          </w:p>
        </w:tc>
        <w:tc>
          <w:tcPr>
            <w:tcW w:w="1538"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4"/>
                <w:szCs w:val="24"/>
                <w:highlight w:val="none"/>
                <w:lang w:val="en-US" w:eastAsia="zh-CN" w:bidi="ar-SA"/>
              </w:rPr>
            </w:pPr>
            <w:r>
              <w:rPr>
                <w:rFonts w:hint="default" w:ascii="Times New Roman" w:hAnsi="Times New Roman" w:eastAsia="宋体" w:cs="Times New Roman"/>
                <w:bCs/>
                <w:color w:val="auto"/>
                <w:spacing w:val="0"/>
                <w:sz w:val="24"/>
                <w:szCs w:val="24"/>
                <w:highlight w:val="none"/>
                <w:lang w:val="en-US" w:eastAsia="zh-CN"/>
              </w:rPr>
              <w:t>2.203t/a</w:t>
            </w:r>
          </w:p>
        </w:tc>
        <w:tc>
          <w:tcPr>
            <w:tcW w:w="1444"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4"/>
                <w:szCs w:val="24"/>
                <w:highlight w:val="none"/>
                <w:lang w:val="en-US" w:eastAsia="zh-CN" w:bidi="ar-SA"/>
              </w:rPr>
            </w:pPr>
            <w:r>
              <w:rPr>
                <w:rFonts w:hint="default" w:ascii="Times New Roman" w:hAnsi="Times New Roman" w:eastAsia="宋体" w:cs="Times New Roman"/>
                <w:bCs/>
                <w:color w:val="auto"/>
                <w:spacing w:val="0"/>
                <w:sz w:val="24"/>
                <w:szCs w:val="24"/>
                <w:highlight w:val="none"/>
                <w:lang w:val="en-US" w:eastAsia="zh-CN"/>
              </w:rPr>
              <w:t>2.851t/a</w:t>
            </w:r>
          </w:p>
        </w:tc>
        <w:tc>
          <w:tcPr>
            <w:tcW w:w="1669"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4"/>
                <w:szCs w:val="24"/>
                <w:highlight w:val="none"/>
                <w:lang w:val="en-US" w:eastAsia="zh-CN" w:bidi="ar-SA"/>
              </w:rPr>
            </w:pPr>
            <w:r>
              <w:rPr>
                <w:rFonts w:hint="default" w:ascii="Times New Roman" w:hAnsi="Times New Roman" w:eastAsia="宋体" w:cs="Times New Roman"/>
                <w:bCs/>
                <w:color w:val="auto"/>
                <w:spacing w:val="0"/>
                <w:sz w:val="24"/>
                <w:szCs w:val="24"/>
                <w:highlight w:val="none"/>
                <w:lang w:val="en-US" w:eastAsia="zh-CN"/>
              </w:rPr>
              <w:t>3.629t/a</w:t>
            </w:r>
          </w:p>
        </w:tc>
        <w:tc>
          <w:tcPr>
            <w:tcW w:w="1374"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4"/>
                <w:szCs w:val="24"/>
                <w:highlight w:val="none"/>
                <w:lang w:val="en-US" w:eastAsia="zh-CN" w:bidi="ar-SA"/>
              </w:rPr>
            </w:pPr>
            <w:r>
              <w:rPr>
                <w:rFonts w:hint="default" w:ascii="Times New Roman" w:hAnsi="Times New Roman" w:eastAsia="宋体" w:cs="Times New Roman"/>
                <w:bCs/>
                <w:color w:val="auto"/>
                <w:spacing w:val="0"/>
                <w:sz w:val="24"/>
                <w:szCs w:val="24"/>
                <w:highlight w:val="none"/>
                <w:lang w:val="en-US" w:eastAsia="zh-CN"/>
              </w:rPr>
              <w:t>-0.648t/a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384" w:type="dxa"/>
            <w:vMerge w:val="continue"/>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snapToGrid w:val="0"/>
                <w:color w:val="auto"/>
                <w:kern w:val="21"/>
                <w:sz w:val="24"/>
                <w:szCs w:val="24"/>
                <w:highlight w:val="none"/>
              </w:rPr>
            </w:pPr>
          </w:p>
        </w:tc>
        <w:tc>
          <w:tcPr>
            <w:tcW w:w="1582" w:type="dxa"/>
            <w:vAlign w:val="center"/>
          </w:tcPr>
          <w:p>
            <w:pPr>
              <w:pStyle w:val="2"/>
              <w:kinsoku/>
              <w:wordWrap/>
              <w:bidi w:val="0"/>
              <w:spacing w:line="240" w:lineRule="auto"/>
              <w:ind w:left="0" w:leftChars="0" w:right="0" w:rightChars="0" w:firstLine="0" w:firstLineChars="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汞及其化合物</w:t>
            </w:r>
          </w:p>
        </w:tc>
        <w:tc>
          <w:tcPr>
            <w:tcW w:w="1678"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0.00025</w:t>
            </w:r>
            <w:r>
              <w:rPr>
                <w:rFonts w:hint="default" w:ascii="Times New Roman" w:hAnsi="Times New Roman" w:eastAsia="宋体" w:cs="Times New Roman"/>
                <w:bCs/>
                <w:color w:val="auto"/>
                <w:spacing w:val="0"/>
                <w:sz w:val="24"/>
                <w:szCs w:val="24"/>
                <w:highlight w:val="none"/>
                <w:lang w:val="en-US" w:eastAsia="zh-CN"/>
              </w:rPr>
              <w:t>t/a</w:t>
            </w:r>
          </w:p>
        </w:tc>
        <w:tc>
          <w:tcPr>
            <w:tcW w:w="1278" w:type="dxa"/>
            <w:vAlign w:val="center"/>
          </w:tcPr>
          <w:p>
            <w:pPr>
              <w:kinsoku/>
              <w:wordWrap/>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highlight w:val="none"/>
                <w:lang w:val="en-US" w:eastAsia="zh-CN" w:bidi="ar-SA"/>
              </w:rPr>
            </w:pPr>
            <w:r>
              <w:rPr>
                <w:rFonts w:hint="default" w:ascii="Times New Roman" w:hAnsi="Times New Roman" w:eastAsia="宋体" w:cs="Times New Roman"/>
                <w:snapToGrid w:val="0"/>
                <w:color w:val="auto"/>
                <w:kern w:val="21"/>
                <w:sz w:val="24"/>
                <w:szCs w:val="24"/>
                <w:highlight w:val="none"/>
              </w:rPr>
              <w:t>/</w:t>
            </w:r>
          </w:p>
        </w:tc>
        <w:tc>
          <w:tcPr>
            <w:tcW w:w="1659" w:type="dxa"/>
            <w:vAlign w:val="center"/>
          </w:tcPr>
          <w:p>
            <w:pPr>
              <w:kinsoku/>
              <w:wordWrap/>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highlight w:val="none"/>
                <w:lang w:val="en-US" w:eastAsia="zh-CN" w:bidi="ar-SA"/>
              </w:rPr>
            </w:pPr>
            <w:r>
              <w:rPr>
                <w:rFonts w:hint="default" w:ascii="Times New Roman" w:hAnsi="Times New Roman" w:eastAsia="宋体" w:cs="Times New Roman"/>
                <w:snapToGrid w:val="0"/>
                <w:color w:val="auto"/>
                <w:kern w:val="21"/>
                <w:sz w:val="24"/>
                <w:szCs w:val="24"/>
                <w:highlight w:val="none"/>
              </w:rPr>
              <w:t>/</w:t>
            </w:r>
          </w:p>
        </w:tc>
        <w:tc>
          <w:tcPr>
            <w:tcW w:w="1538"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4"/>
                <w:szCs w:val="24"/>
                <w:highlight w:val="none"/>
                <w:lang w:val="en-US" w:eastAsia="zh-CN" w:bidi="ar-SA"/>
              </w:rPr>
            </w:pPr>
            <w:r>
              <w:rPr>
                <w:rFonts w:hint="default" w:ascii="Times New Roman" w:hAnsi="Times New Roman" w:eastAsia="宋体" w:cs="Times New Roman"/>
                <w:bCs/>
                <w:color w:val="auto"/>
                <w:spacing w:val="0"/>
                <w:sz w:val="24"/>
                <w:szCs w:val="24"/>
                <w:highlight w:val="none"/>
                <w:lang w:val="en-US" w:eastAsia="zh-CN"/>
              </w:rPr>
              <w:t>0.000018t/a</w:t>
            </w:r>
          </w:p>
        </w:tc>
        <w:tc>
          <w:tcPr>
            <w:tcW w:w="1444"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4"/>
                <w:szCs w:val="24"/>
                <w:highlight w:val="none"/>
                <w:lang w:val="en-US" w:eastAsia="zh-CN" w:bidi="ar-SA"/>
              </w:rPr>
            </w:pPr>
            <w:r>
              <w:rPr>
                <w:rFonts w:hint="default" w:ascii="Times New Roman" w:hAnsi="Times New Roman" w:eastAsia="宋体" w:cs="Times New Roman"/>
                <w:bCs/>
                <w:color w:val="auto"/>
                <w:spacing w:val="0"/>
                <w:sz w:val="24"/>
                <w:szCs w:val="24"/>
                <w:highlight w:val="none"/>
                <w:lang w:val="en-US" w:eastAsia="zh-CN"/>
              </w:rPr>
              <w:t>0.00018t/a</w:t>
            </w:r>
          </w:p>
        </w:tc>
        <w:tc>
          <w:tcPr>
            <w:tcW w:w="1669"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4"/>
                <w:szCs w:val="24"/>
                <w:highlight w:val="none"/>
                <w:lang w:val="en-US" w:eastAsia="zh-CN" w:bidi="ar-SA"/>
              </w:rPr>
            </w:pPr>
            <w:r>
              <w:rPr>
                <w:rFonts w:hint="default" w:ascii="Times New Roman" w:hAnsi="Times New Roman" w:eastAsia="宋体" w:cs="Times New Roman"/>
                <w:bCs/>
                <w:color w:val="auto"/>
                <w:spacing w:val="0"/>
                <w:sz w:val="24"/>
                <w:szCs w:val="24"/>
                <w:highlight w:val="none"/>
                <w:lang w:val="en-US" w:eastAsia="zh-CN"/>
              </w:rPr>
              <w:t>0.000088t/a</w:t>
            </w:r>
          </w:p>
        </w:tc>
        <w:tc>
          <w:tcPr>
            <w:tcW w:w="1374"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pacing w:val="0"/>
                <w:kern w:val="2"/>
                <w:sz w:val="24"/>
                <w:szCs w:val="24"/>
                <w:highlight w:val="none"/>
                <w:lang w:val="en-US" w:eastAsia="zh-CN" w:bidi="ar-SA"/>
              </w:rPr>
            </w:pPr>
            <w:r>
              <w:rPr>
                <w:rFonts w:hint="default" w:ascii="Times New Roman" w:hAnsi="Times New Roman" w:eastAsia="宋体" w:cs="Times New Roman"/>
                <w:bCs/>
                <w:color w:val="auto"/>
                <w:spacing w:val="0"/>
                <w:sz w:val="24"/>
                <w:szCs w:val="24"/>
                <w:highlight w:val="none"/>
                <w:lang w:val="en-US" w:eastAsia="zh-CN"/>
              </w:rPr>
              <w:t>-0.000162t/a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384" w:type="dxa"/>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snapToGrid w:val="0"/>
                <w:color w:val="auto"/>
                <w:kern w:val="21"/>
                <w:sz w:val="24"/>
                <w:szCs w:val="24"/>
                <w:highlight w:val="none"/>
                <w:lang w:val="en-US" w:eastAsia="zh-CN"/>
              </w:rPr>
            </w:pPr>
            <w:r>
              <w:rPr>
                <w:rFonts w:hint="default" w:ascii="Times New Roman" w:hAnsi="Times New Roman" w:eastAsia="宋体" w:cs="Times New Roman"/>
                <w:b/>
                <w:bCs/>
                <w:snapToGrid w:val="0"/>
                <w:color w:val="auto"/>
                <w:kern w:val="21"/>
                <w:sz w:val="24"/>
                <w:szCs w:val="24"/>
                <w:highlight w:val="none"/>
                <w:lang w:val="en-US" w:eastAsia="zh-CN"/>
              </w:rPr>
              <w:t>废水</w:t>
            </w:r>
          </w:p>
        </w:tc>
        <w:tc>
          <w:tcPr>
            <w:tcW w:w="158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snapToGrid w:val="0"/>
                <w:color w:val="auto"/>
                <w:kern w:val="21"/>
                <w:sz w:val="24"/>
                <w:szCs w:val="24"/>
                <w:highlight w:val="none"/>
              </w:rPr>
              <w:t>/</w:t>
            </w:r>
          </w:p>
        </w:tc>
        <w:tc>
          <w:tcPr>
            <w:tcW w:w="1678" w:type="dxa"/>
            <w:vAlign w:val="center"/>
          </w:tcPr>
          <w:p>
            <w:pPr>
              <w:pStyle w:val="2"/>
              <w:kinsoku/>
              <w:wordWrap/>
              <w:bidi w:val="0"/>
              <w:spacing w:line="240" w:lineRule="auto"/>
              <w:ind w:left="0" w:leftChars="0" w:right="0" w:rightChars="0" w:firstLine="0" w:firstLineChars="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rPr>
              <w:t>/</w:t>
            </w:r>
          </w:p>
        </w:tc>
        <w:tc>
          <w:tcPr>
            <w:tcW w:w="1278" w:type="dxa"/>
            <w:vAlign w:val="center"/>
          </w:tcPr>
          <w:p>
            <w:pPr>
              <w:kinsoku/>
              <w:wordWrap/>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w:t>
            </w:r>
          </w:p>
        </w:tc>
        <w:tc>
          <w:tcPr>
            <w:tcW w:w="1659" w:type="dxa"/>
            <w:vAlign w:val="center"/>
          </w:tcPr>
          <w:p>
            <w:pPr>
              <w:kinsoku/>
              <w:wordWrap/>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highlight w:val="none"/>
                <w:lang w:val="en-US" w:eastAsia="zh-CN" w:bidi="ar-SA"/>
              </w:rPr>
            </w:pPr>
            <w:r>
              <w:rPr>
                <w:rFonts w:hint="default" w:ascii="Times New Roman" w:hAnsi="Times New Roman" w:eastAsia="宋体" w:cs="Times New Roman"/>
                <w:snapToGrid w:val="0"/>
                <w:color w:val="auto"/>
                <w:kern w:val="21"/>
                <w:sz w:val="24"/>
                <w:szCs w:val="24"/>
                <w:highlight w:val="none"/>
              </w:rPr>
              <w:t>/</w:t>
            </w:r>
          </w:p>
        </w:tc>
        <w:tc>
          <w:tcPr>
            <w:tcW w:w="1538" w:type="dxa"/>
            <w:vAlign w:val="center"/>
          </w:tcPr>
          <w:p>
            <w:pPr>
              <w:keepNext w:val="0"/>
              <w:keepLines w:val="0"/>
              <w:widowControl/>
              <w:suppressLineNumbers w:val="0"/>
              <w:kinsoku/>
              <w:wordWrap/>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snapToGrid w:val="0"/>
                <w:color w:val="auto"/>
                <w:kern w:val="21"/>
                <w:sz w:val="24"/>
                <w:szCs w:val="24"/>
                <w:highlight w:val="none"/>
              </w:rPr>
              <w:t>/</w:t>
            </w:r>
          </w:p>
        </w:tc>
        <w:tc>
          <w:tcPr>
            <w:tcW w:w="1444" w:type="dxa"/>
            <w:vAlign w:val="center"/>
          </w:tcPr>
          <w:p>
            <w:pPr>
              <w:pStyle w:val="2"/>
              <w:kinsoku/>
              <w:wordWrap/>
              <w:bidi w:val="0"/>
              <w:spacing w:line="240" w:lineRule="auto"/>
              <w:ind w:left="0" w:leftChars="0" w:right="0" w:rightChars="0" w:firstLine="0" w:firstLineChars="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snapToGrid w:val="0"/>
                <w:color w:val="auto"/>
                <w:kern w:val="21"/>
                <w:sz w:val="24"/>
                <w:szCs w:val="24"/>
                <w:highlight w:val="none"/>
              </w:rPr>
              <w:t>/</w:t>
            </w:r>
          </w:p>
        </w:tc>
        <w:tc>
          <w:tcPr>
            <w:tcW w:w="1669" w:type="dxa"/>
            <w:vAlign w:val="center"/>
          </w:tcPr>
          <w:p>
            <w:pPr>
              <w:keepNext w:val="0"/>
              <w:keepLines w:val="0"/>
              <w:widowControl/>
              <w:suppressLineNumbers w:val="0"/>
              <w:kinsoku/>
              <w:wordWrap/>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snapToGrid w:val="0"/>
                <w:color w:val="auto"/>
                <w:kern w:val="21"/>
                <w:sz w:val="24"/>
                <w:szCs w:val="24"/>
                <w:highlight w:val="none"/>
              </w:rPr>
              <w:t>/</w:t>
            </w:r>
          </w:p>
        </w:tc>
        <w:tc>
          <w:tcPr>
            <w:tcW w:w="1374" w:type="dxa"/>
            <w:vAlign w:val="center"/>
          </w:tcPr>
          <w:p>
            <w:pPr>
              <w:pStyle w:val="2"/>
              <w:kinsoku/>
              <w:wordWrap/>
              <w:bidi w:val="0"/>
              <w:spacing w:line="240" w:lineRule="auto"/>
              <w:ind w:left="0" w:leftChars="0" w:right="0" w:rightChars="0" w:firstLine="0" w:firstLineChars="0"/>
              <w:jc w:val="center"/>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snapToGrid w:val="0"/>
                <w:color w:val="auto"/>
                <w:kern w:val="21"/>
                <w:sz w:val="24"/>
                <w:szCs w:val="24"/>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384" w:type="dxa"/>
            <w:vMerge w:val="restart"/>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snapToGrid w:val="0"/>
                <w:color w:val="auto"/>
                <w:kern w:val="21"/>
                <w:sz w:val="24"/>
                <w:szCs w:val="24"/>
                <w:highlight w:val="none"/>
              </w:rPr>
            </w:pPr>
            <w:r>
              <w:rPr>
                <w:rFonts w:hint="default" w:ascii="Times New Roman" w:hAnsi="Times New Roman" w:eastAsia="宋体" w:cs="Times New Roman"/>
                <w:b/>
                <w:bCs/>
                <w:snapToGrid w:val="0"/>
                <w:color w:val="auto"/>
                <w:kern w:val="21"/>
                <w:sz w:val="24"/>
                <w:szCs w:val="24"/>
                <w:highlight w:val="none"/>
              </w:rPr>
              <w:t>固体废物</w:t>
            </w:r>
          </w:p>
        </w:tc>
        <w:tc>
          <w:tcPr>
            <w:tcW w:w="158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灰渣</w:t>
            </w:r>
          </w:p>
        </w:tc>
        <w:tc>
          <w:tcPr>
            <w:tcW w:w="1678"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720</w:t>
            </w:r>
            <w:r>
              <w:rPr>
                <w:rFonts w:hint="default" w:ascii="Times New Roman" w:hAnsi="Times New Roman" w:eastAsia="宋体" w:cs="Times New Roman"/>
                <w:bCs/>
                <w:color w:val="auto"/>
                <w:spacing w:val="0"/>
                <w:sz w:val="24"/>
                <w:szCs w:val="24"/>
                <w:highlight w:val="none"/>
                <w:lang w:val="en-US" w:eastAsia="zh-CN"/>
              </w:rPr>
              <w:t>t/a</w:t>
            </w:r>
          </w:p>
        </w:tc>
        <w:tc>
          <w:tcPr>
            <w:tcW w:w="1278" w:type="dxa"/>
            <w:vAlign w:val="center"/>
          </w:tcPr>
          <w:p>
            <w:pPr>
              <w:kinsoku/>
              <w:wordWrap/>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w:t>
            </w:r>
          </w:p>
        </w:tc>
        <w:tc>
          <w:tcPr>
            <w:tcW w:w="1659" w:type="dxa"/>
            <w:vAlign w:val="center"/>
          </w:tcPr>
          <w:p>
            <w:pPr>
              <w:kinsoku/>
              <w:wordWrap/>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highlight w:val="none"/>
                <w:lang w:val="en-US" w:eastAsia="zh-CN"/>
              </w:rPr>
            </w:pPr>
            <w:r>
              <w:rPr>
                <w:rFonts w:hint="default" w:ascii="Times New Roman" w:hAnsi="Times New Roman" w:eastAsia="宋体" w:cs="Times New Roman"/>
                <w:snapToGrid w:val="0"/>
                <w:color w:val="auto"/>
                <w:kern w:val="21"/>
                <w:sz w:val="24"/>
                <w:szCs w:val="24"/>
                <w:highlight w:val="none"/>
              </w:rPr>
              <w:t>/</w:t>
            </w:r>
          </w:p>
        </w:tc>
        <w:tc>
          <w:tcPr>
            <w:tcW w:w="1538"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204.781</w:t>
            </w:r>
            <w:r>
              <w:rPr>
                <w:rFonts w:hint="default" w:ascii="Times New Roman" w:hAnsi="Times New Roman" w:eastAsia="宋体" w:cs="Times New Roman"/>
                <w:bCs/>
                <w:color w:val="auto"/>
                <w:spacing w:val="0"/>
                <w:sz w:val="24"/>
                <w:szCs w:val="24"/>
                <w:highlight w:val="none"/>
                <w:lang w:val="en-US" w:eastAsia="zh-CN"/>
              </w:rPr>
              <w:t>t/a</w:t>
            </w:r>
          </w:p>
        </w:tc>
        <w:tc>
          <w:tcPr>
            <w:tcW w:w="1444"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480</w:t>
            </w:r>
            <w:r>
              <w:rPr>
                <w:rFonts w:hint="default" w:ascii="Times New Roman" w:hAnsi="Times New Roman" w:eastAsia="宋体" w:cs="Times New Roman"/>
                <w:bCs/>
                <w:color w:val="auto"/>
                <w:spacing w:val="0"/>
                <w:sz w:val="24"/>
                <w:szCs w:val="24"/>
                <w:highlight w:val="none"/>
                <w:lang w:val="en-US" w:eastAsia="zh-CN"/>
              </w:rPr>
              <w:t>t/a</w:t>
            </w:r>
          </w:p>
        </w:tc>
        <w:tc>
          <w:tcPr>
            <w:tcW w:w="1669"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444.781</w:t>
            </w:r>
            <w:r>
              <w:rPr>
                <w:rFonts w:hint="default" w:ascii="Times New Roman" w:hAnsi="Times New Roman" w:eastAsia="宋体" w:cs="Times New Roman"/>
                <w:bCs/>
                <w:color w:val="auto"/>
                <w:spacing w:val="0"/>
                <w:sz w:val="24"/>
                <w:szCs w:val="24"/>
                <w:highlight w:val="none"/>
                <w:lang w:val="en-US" w:eastAsia="zh-CN"/>
              </w:rPr>
              <w:t>t/a</w:t>
            </w:r>
          </w:p>
        </w:tc>
        <w:tc>
          <w:tcPr>
            <w:tcW w:w="1374"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-275.219</w:t>
            </w:r>
            <w:r>
              <w:rPr>
                <w:rFonts w:hint="default" w:ascii="Times New Roman" w:hAnsi="Times New Roman" w:eastAsia="宋体" w:cs="Times New Roman"/>
                <w:bCs/>
                <w:color w:val="auto"/>
                <w:spacing w:val="0"/>
                <w:sz w:val="24"/>
                <w:szCs w:val="24"/>
                <w:highlight w:val="none"/>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384" w:type="dxa"/>
            <w:vMerge w:val="continue"/>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snapToGrid w:val="0"/>
                <w:color w:val="auto"/>
                <w:kern w:val="21"/>
                <w:sz w:val="24"/>
                <w:szCs w:val="24"/>
                <w:highlight w:val="none"/>
              </w:rPr>
            </w:pPr>
          </w:p>
        </w:tc>
        <w:tc>
          <w:tcPr>
            <w:tcW w:w="158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除尘灰</w:t>
            </w:r>
          </w:p>
        </w:tc>
        <w:tc>
          <w:tcPr>
            <w:tcW w:w="1678"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147</w:t>
            </w:r>
            <w:r>
              <w:rPr>
                <w:rFonts w:hint="default" w:ascii="Times New Roman" w:hAnsi="Times New Roman" w:eastAsia="宋体" w:cs="Times New Roman"/>
                <w:bCs/>
                <w:color w:val="auto"/>
                <w:spacing w:val="0"/>
                <w:sz w:val="24"/>
                <w:szCs w:val="24"/>
                <w:highlight w:val="none"/>
                <w:lang w:val="en-US" w:eastAsia="zh-CN"/>
              </w:rPr>
              <w:t>t/a</w:t>
            </w:r>
          </w:p>
        </w:tc>
        <w:tc>
          <w:tcPr>
            <w:tcW w:w="1278" w:type="dxa"/>
            <w:vAlign w:val="center"/>
          </w:tcPr>
          <w:p>
            <w:pPr>
              <w:kinsoku/>
              <w:wordWrap/>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w:t>
            </w:r>
          </w:p>
        </w:tc>
        <w:tc>
          <w:tcPr>
            <w:tcW w:w="1659" w:type="dxa"/>
            <w:vAlign w:val="center"/>
          </w:tcPr>
          <w:p>
            <w:pPr>
              <w:kinsoku/>
              <w:wordWrap/>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highlight w:val="none"/>
              </w:rPr>
            </w:pPr>
            <w:r>
              <w:rPr>
                <w:rFonts w:hint="default" w:ascii="Times New Roman" w:hAnsi="Times New Roman" w:eastAsia="宋体" w:cs="Times New Roman"/>
                <w:snapToGrid w:val="0"/>
                <w:color w:val="auto"/>
                <w:kern w:val="21"/>
                <w:sz w:val="24"/>
                <w:szCs w:val="24"/>
                <w:highlight w:val="none"/>
              </w:rPr>
              <w:t>/</w:t>
            </w:r>
          </w:p>
        </w:tc>
        <w:tc>
          <w:tcPr>
            <w:tcW w:w="1538"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eastAsia" w:cs="Times New Roman"/>
                <w:b w:val="0"/>
                <w:bCs w:val="0"/>
                <w:color w:val="auto"/>
                <w:sz w:val="24"/>
                <w:szCs w:val="24"/>
                <w:highlight w:val="none"/>
                <w:vertAlign w:val="baseline"/>
                <w:lang w:val="en-US" w:eastAsia="zh-CN"/>
              </w:rPr>
              <w:t>0.921</w:t>
            </w:r>
            <w:r>
              <w:rPr>
                <w:rFonts w:hint="default" w:ascii="Times New Roman" w:hAnsi="Times New Roman" w:eastAsia="宋体" w:cs="Times New Roman"/>
                <w:bCs/>
                <w:color w:val="auto"/>
                <w:spacing w:val="0"/>
                <w:sz w:val="24"/>
                <w:szCs w:val="24"/>
                <w:highlight w:val="none"/>
                <w:lang w:val="en-US" w:eastAsia="zh-CN"/>
              </w:rPr>
              <w:t>t/a</w:t>
            </w:r>
          </w:p>
        </w:tc>
        <w:tc>
          <w:tcPr>
            <w:tcW w:w="1444"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98</w:t>
            </w:r>
            <w:r>
              <w:rPr>
                <w:rFonts w:hint="default" w:ascii="Times New Roman" w:hAnsi="Times New Roman" w:eastAsia="宋体" w:cs="Times New Roman"/>
                <w:bCs/>
                <w:color w:val="auto"/>
                <w:spacing w:val="0"/>
                <w:sz w:val="24"/>
                <w:szCs w:val="24"/>
                <w:highlight w:val="none"/>
                <w:lang w:val="en-US" w:eastAsia="zh-CN"/>
              </w:rPr>
              <w:t>t/a</w:t>
            </w:r>
          </w:p>
        </w:tc>
        <w:tc>
          <w:tcPr>
            <w:tcW w:w="1669"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eastAsia" w:cs="Times New Roman"/>
                <w:b w:val="0"/>
                <w:bCs w:val="0"/>
                <w:color w:val="auto"/>
                <w:sz w:val="24"/>
                <w:szCs w:val="24"/>
                <w:highlight w:val="none"/>
                <w:vertAlign w:val="baseline"/>
                <w:lang w:val="en-US" w:eastAsia="zh-CN"/>
              </w:rPr>
              <w:t>49.921</w:t>
            </w:r>
            <w:r>
              <w:rPr>
                <w:rFonts w:hint="default" w:ascii="Times New Roman" w:hAnsi="Times New Roman" w:eastAsia="宋体" w:cs="Times New Roman"/>
                <w:bCs/>
                <w:color w:val="auto"/>
                <w:spacing w:val="0"/>
                <w:sz w:val="24"/>
                <w:szCs w:val="24"/>
                <w:highlight w:val="none"/>
                <w:lang w:val="en-US" w:eastAsia="zh-CN"/>
              </w:rPr>
              <w:t>t/a</w:t>
            </w:r>
          </w:p>
        </w:tc>
        <w:tc>
          <w:tcPr>
            <w:tcW w:w="1374"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w:t>
            </w:r>
            <w:r>
              <w:rPr>
                <w:rFonts w:hint="eastAsia" w:cs="Times New Roman"/>
                <w:b w:val="0"/>
                <w:bCs w:val="0"/>
                <w:color w:val="auto"/>
                <w:sz w:val="24"/>
                <w:szCs w:val="24"/>
                <w:highlight w:val="none"/>
                <w:vertAlign w:val="baseline"/>
                <w:lang w:val="en-US" w:eastAsia="zh-CN"/>
              </w:rPr>
              <w:t>97.079</w:t>
            </w:r>
            <w:r>
              <w:rPr>
                <w:rFonts w:hint="default" w:ascii="Times New Roman" w:hAnsi="Times New Roman" w:eastAsia="宋体" w:cs="Times New Roman"/>
                <w:bCs/>
                <w:color w:val="auto"/>
                <w:spacing w:val="0"/>
                <w:sz w:val="24"/>
                <w:szCs w:val="24"/>
                <w:highlight w:val="none"/>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384" w:type="dxa"/>
            <w:vMerge w:val="continue"/>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snapToGrid w:val="0"/>
                <w:color w:val="auto"/>
                <w:kern w:val="21"/>
                <w:sz w:val="24"/>
                <w:szCs w:val="24"/>
                <w:highlight w:val="none"/>
              </w:rPr>
            </w:pPr>
          </w:p>
        </w:tc>
        <w:tc>
          <w:tcPr>
            <w:tcW w:w="158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脱硫石膏</w:t>
            </w:r>
          </w:p>
        </w:tc>
        <w:tc>
          <w:tcPr>
            <w:tcW w:w="1678"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56</w:t>
            </w:r>
            <w:r>
              <w:rPr>
                <w:rFonts w:hint="default" w:ascii="Times New Roman" w:hAnsi="Times New Roman" w:eastAsia="宋体" w:cs="Times New Roman"/>
                <w:bCs/>
                <w:color w:val="auto"/>
                <w:spacing w:val="0"/>
                <w:sz w:val="24"/>
                <w:szCs w:val="24"/>
                <w:highlight w:val="none"/>
                <w:lang w:val="en-US" w:eastAsia="zh-CN"/>
              </w:rPr>
              <w:t>t/a</w:t>
            </w:r>
          </w:p>
        </w:tc>
        <w:tc>
          <w:tcPr>
            <w:tcW w:w="1278" w:type="dxa"/>
            <w:vAlign w:val="center"/>
          </w:tcPr>
          <w:p>
            <w:pPr>
              <w:kinsoku/>
              <w:wordWrap/>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highlight w:val="none"/>
                <w:lang w:val="en-US" w:eastAsia="zh-CN" w:bidi="ar-SA"/>
              </w:rPr>
            </w:pPr>
            <w:r>
              <w:rPr>
                <w:rFonts w:hint="default" w:ascii="Times New Roman" w:hAnsi="Times New Roman" w:eastAsia="宋体" w:cs="Times New Roman"/>
                <w:snapToGrid w:val="0"/>
                <w:color w:val="auto"/>
                <w:kern w:val="21"/>
                <w:sz w:val="24"/>
                <w:szCs w:val="24"/>
                <w:highlight w:val="none"/>
              </w:rPr>
              <w:t>/</w:t>
            </w:r>
          </w:p>
        </w:tc>
        <w:tc>
          <w:tcPr>
            <w:tcW w:w="1659" w:type="dxa"/>
            <w:vAlign w:val="center"/>
          </w:tcPr>
          <w:p>
            <w:pPr>
              <w:kinsoku/>
              <w:wordWrap/>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highlight w:val="none"/>
                <w:lang w:val="en-US" w:eastAsia="zh-CN" w:bidi="ar-SA"/>
              </w:rPr>
            </w:pPr>
            <w:r>
              <w:rPr>
                <w:rFonts w:hint="default" w:ascii="Times New Roman" w:hAnsi="Times New Roman" w:eastAsia="宋体" w:cs="Times New Roman"/>
                <w:snapToGrid w:val="0"/>
                <w:color w:val="auto"/>
                <w:kern w:val="21"/>
                <w:sz w:val="24"/>
                <w:szCs w:val="24"/>
                <w:highlight w:val="none"/>
              </w:rPr>
              <w:t>/</w:t>
            </w:r>
          </w:p>
        </w:tc>
        <w:tc>
          <w:tcPr>
            <w:tcW w:w="1538"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3.277</w:t>
            </w:r>
            <w:r>
              <w:rPr>
                <w:rFonts w:hint="default" w:ascii="Times New Roman" w:hAnsi="Times New Roman" w:eastAsia="宋体" w:cs="Times New Roman"/>
                <w:bCs/>
                <w:color w:val="auto"/>
                <w:spacing w:val="0"/>
                <w:sz w:val="24"/>
                <w:szCs w:val="24"/>
                <w:highlight w:val="none"/>
                <w:lang w:val="en-US" w:eastAsia="zh-CN"/>
              </w:rPr>
              <w:t>t/a</w:t>
            </w:r>
          </w:p>
        </w:tc>
        <w:tc>
          <w:tcPr>
            <w:tcW w:w="1444"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37.333</w:t>
            </w:r>
            <w:r>
              <w:rPr>
                <w:rFonts w:hint="default" w:ascii="Times New Roman" w:hAnsi="Times New Roman" w:eastAsia="宋体" w:cs="Times New Roman"/>
                <w:bCs/>
                <w:color w:val="auto"/>
                <w:spacing w:val="0"/>
                <w:sz w:val="24"/>
                <w:szCs w:val="24"/>
                <w:highlight w:val="none"/>
                <w:lang w:val="en-US" w:eastAsia="zh-CN"/>
              </w:rPr>
              <w:t>t/a</w:t>
            </w:r>
          </w:p>
        </w:tc>
        <w:tc>
          <w:tcPr>
            <w:tcW w:w="1669"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21.944</w:t>
            </w:r>
            <w:r>
              <w:rPr>
                <w:rFonts w:hint="default" w:ascii="Times New Roman" w:hAnsi="Times New Roman" w:eastAsia="宋体" w:cs="Times New Roman"/>
                <w:bCs/>
                <w:color w:val="auto"/>
                <w:spacing w:val="0"/>
                <w:sz w:val="24"/>
                <w:szCs w:val="24"/>
                <w:highlight w:val="none"/>
                <w:lang w:val="en-US" w:eastAsia="zh-CN"/>
              </w:rPr>
              <w:t>t/a</w:t>
            </w:r>
          </w:p>
        </w:tc>
        <w:tc>
          <w:tcPr>
            <w:tcW w:w="1374"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-34.056</w:t>
            </w:r>
            <w:r>
              <w:rPr>
                <w:rFonts w:hint="default" w:ascii="Times New Roman" w:hAnsi="Times New Roman" w:eastAsia="宋体" w:cs="Times New Roman"/>
                <w:bCs/>
                <w:color w:val="auto"/>
                <w:spacing w:val="0"/>
                <w:sz w:val="24"/>
                <w:szCs w:val="24"/>
                <w:highlight w:val="none"/>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384" w:type="dxa"/>
            <w:vMerge w:val="continue"/>
            <w:vAlign w:val="center"/>
          </w:tcPr>
          <w:p>
            <w:pPr>
              <w:kinsoku/>
              <w:wordWrap/>
              <w:bidi w:val="0"/>
              <w:spacing w:line="240" w:lineRule="auto"/>
              <w:ind w:left="0" w:leftChars="0" w:right="0" w:rightChars="0" w:firstLine="0" w:firstLineChars="0"/>
              <w:jc w:val="center"/>
              <w:rPr>
                <w:rFonts w:hint="default" w:ascii="Times New Roman" w:hAnsi="Times New Roman" w:eastAsia="宋体" w:cs="Times New Roman"/>
                <w:b/>
                <w:bCs/>
                <w:snapToGrid w:val="0"/>
                <w:color w:val="auto"/>
                <w:kern w:val="21"/>
                <w:sz w:val="24"/>
                <w:szCs w:val="24"/>
                <w:highlight w:val="none"/>
              </w:rPr>
            </w:pPr>
          </w:p>
        </w:tc>
        <w:tc>
          <w:tcPr>
            <w:tcW w:w="158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废饱和树脂</w:t>
            </w:r>
          </w:p>
        </w:tc>
        <w:tc>
          <w:tcPr>
            <w:tcW w:w="1678"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0.3</w:t>
            </w:r>
            <w:r>
              <w:rPr>
                <w:rFonts w:hint="default" w:ascii="Times New Roman" w:hAnsi="Times New Roman" w:eastAsia="宋体" w:cs="Times New Roman"/>
                <w:bCs/>
                <w:color w:val="auto"/>
                <w:spacing w:val="0"/>
                <w:sz w:val="24"/>
                <w:szCs w:val="24"/>
                <w:highlight w:val="none"/>
                <w:lang w:val="en-US" w:eastAsia="zh-CN"/>
              </w:rPr>
              <w:t>t/a</w:t>
            </w:r>
          </w:p>
        </w:tc>
        <w:tc>
          <w:tcPr>
            <w:tcW w:w="1278" w:type="dxa"/>
            <w:vAlign w:val="center"/>
          </w:tcPr>
          <w:p>
            <w:pPr>
              <w:kinsoku/>
              <w:wordWrap/>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highlight w:val="none"/>
                <w:lang w:val="en-US" w:eastAsia="zh-CN" w:bidi="ar-SA"/>
              </w:rPr>
            </w:pPr>
            <w:r>
              <w:rPr>
                <w:rFonts w:hint="default" w:ascii="Times New Roman" w:hAnsi="Times New Roman" w:eastAsia="宋体" w:cs="Times New Roman"/>
                <w:snapToGrid w:val="0"/>
                <w:color w:val="auto"/>
                <w:kern w:val="21"/>
                <w:sz w:val="24"/>
                <w:szCs w:val="24"/>
                <w:highlight w:val="none"/>
              </w:rPr>
              <w:t>/</w:t>
            </w:r>
          </w:p>
        </w:tc>
        <w:tc>
          <w:tcPr>
            <w:tcW w:w="1659" w:type="dxa"/>
            <w:vAlign w:val="center"/>
          </w:tcPr>
          <w:p>
            <w:pPr>
              <w:kinsoku/>
              <w:wordWrap/>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snapToGrid w:val="0"/>
                <w:color w:val="auto"/>
                <w:kern w:val="21"/>
                <w:sz w:val="24"/>
                <w:szCs w:val="24"/>
                <w:highlight w:val="none"/>
                <w:lang w:val="en-US" w:eastAsia="zh-CN" w:bidi="ar-SA"/>
              </w:rPr>
            </w:pPr>
            <w:r>
              <w:rPr>
                <w:rFonts w:hint="default" w:ascii="Times New Roman" w:hAnsi="Times New Roman" w:eastAsia="宋体" w:cs="Times New Roman"/>
                <w:snapToGrid w:val="0"/>
                <w:color w:val="auto"/>
                <w:kern w:val="21"/>
                <w:sz w:val="24"/>
                <w:szCs w:val="24"/>
                <w:highlight w:val="none"/>
              </w:rPr>
              <w:t>/</w:t>
            </w:r>
          </w:p>
        </w:tc>
        <w:tc>
          <w:tcPr>
            <w:tcW w:w="1538"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0.3</w:t>
            </w:r>
            <w:r>
              <w:rPr>
                <w:rFonts w:hint="default" w:ascii="Times New Roman" w:hAnsi="Times New Roman" w:eastAsia="宋体" w:cs="Times New Roman"/>
                <w:bCs/>
                <w:color w:val="auto"/>
                <w:spacing w:val="0"/>
                <w:sz w:val="24"/>
                <w:szCs w:val="24"/>
                <w:highlight w:val="none"/>
                <w:lang w:val="en-US" w:eastAsia="zh-CN"/>
              </w:rPr>
              <w:t>t/a</w:t>
            </w:r>
          </w:p>
        </w:tc>
        <w:tc>
          <w:tcPr>
            <w:tcW w:w="1444"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0.3</w:t>
            </w:r>
            <w:r>
              <w:rPr>
                <w:rFonts w:hint="default" w:ascii="Times New Roman" w:hAnsi="Times New Roman" w:eastAsia="宋体" w:cs="Times New Roman"/>
                <w:bCs/>
                <w:color w:val="auto"/>
                <w:spacing w:val="0"/>
                <w:sz w:val="24"/>
                <w:szCs w:val="24"/>
                <w:highlight w:val="none"/>
                <w:lang w:val="en-US" w:eastAsia="zh-CN"/>
              </w:rPr>
              <w:t>t/a</w:t>
            </w:r>
          </w:p>
        </w:tc>
        <w:tc>
          <w:tcPr>
            <w:tcW w:w="1669"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0.3</w:t>
            </w:r>
            <w:r>
              <w:rPr>
                <w:rFonts w:hint="default" w:ascii="Times New Roman" w:hAnsi="Times New Roman" w:eastAsia="宋体" w:cs="Times New Roman"/>
                <w:bCs/>
                <w:color w:val="auto"/>
                <w:spacing w:val="0"/>
                <w:sz w:val="24"/>
                <w:szCs w:val="24"/>
                <w:highlight w:val="none"/>
                <w:lang w:val="en-US" w:eastAsia="zh-CN"/>
              </w:rPr>
              <w:t>t/a</w:t>
            </w:r>
          </w:p>
        </w:tc>
        <w:tc>
          <w:tcPr>
            <w:tcW w:w="1374"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rPr>
              <w:t>0</w:t>
            </w:r>
          </w:p>
        </w:tc>
      </w:tr>
    </w:tbl>
    <w:p>
      <w:pPr>
        <w:kinsoku/>
        <w:wordWrap/>
        <w:bidi w:val="0"/>
        <w:spacing w:line="360" w:lineRule="auto"/>
        <w:ind w:left="0" w:leftChars="0" w:right="0" w:rightChars="0" w:firstLine="0" w:firstLineChars="0"/>
        <w:jc w:val="left"/>
        <w:rPr>
          <w:rFonts w:hint="default" w:ascii="Times New Roman" w:hAnsi="Times New Roman" w:eastAsia="宋体" w:cs="Times New Roman"/>
          <w:snapToGrid w:val="0"/>
          <w:color w:val="auto"/>
          <w:spacing w:val="-6"/>
          <w:kern w:val="21"/>
          <w:highlight w:val="none"/>
        </w:rPr>
      </w:pPr>
      <w:r>
        <w:rPr>
          <w:rFonts w:hint="default" w:ascii="Times New Roman" w:hAnsi="Times New Roman" w:eastAsia="宋体" w:cs="Times New Roman"/>
          <w:snapToGrid w:val="0"/>
          <w:color w:val="auto"/>
          <w:kern w:val="21"/>
          <w:highlight w:val="none"/>
        </w:rPr>
        <w:t>注：</w:t>
      </w:r>
      <w:r>
        <w:rPr>
          <w:rFonts w:hint="default" w:ascii="Times New Roman" w:hAnsi="Times New Roman" w:eastAsia="宋体" w:cs="Times New Roman"/>
          <w:snapToGrid w:val="0"/>
          <w:color w:val="auto"/>
          <w:spacing w:val="-16"/>
          <w:kern w:val="21"/>
          <w:highlight w:val="none"/>
        </w:rPr>
        <w:fldChar w:fldCharType="begin"/>
      </w:r>
      <w:r>
        <w:rPr>
          <w:rFonts w:hint="default" w:ascii="Times New Roman" w:hAnsi="Times New Roman" w:eastAsia="宋体" w:cs="Times New Roman"/>
          <w:snapToGrid w:val="0"/>
          <w:color w:val="auto"/>
          <w:spacing w:val="-16"/>
          <w:kern w:val="21"/>
          <w:highlight w:val="none"/>
        </w:rPr>
        <w:instrText xml:space="preserve"> = 6 \* GB3 \* MERGEFORMAT </w:instrText>
      </w:r>
      <w:r>
        <w:rPr>
          <w:rFonts w:hint="default" w:ascii="Times New Roman" w:hAnsi="Times New Roman" w:eastAsia="宋体" w:cs="Times New Roman"/>
          <w:snapToGrid w:val="0"/>
          <w:color w:val="auto"/>
          <w:spacing w:val="-16"/>
          <w:kern w:val="21"/>
          <w:highlight w:val="none"/>
        </w:rPr>
        <w:fldChar w:fldCharType="separate"/>
      </w:r>
      <w:r>
        <w:rPr>
          <w:rFonts w:hint="default" w:ascii="Times New Roman" w:hAnsi="Times New Roman" w:eastAsia="宋体" w:cs="Times New Roman"/>
          <w:color w:val="auto"/>
          <w:highlight w:val="none"/>
        </w:rPr>
        <w:t>⑥</w:t>
      </w:r>
      <w:r>
        <w:rPr>
          <w:rFonts w:hint="default" w:ascii="Times New Roman" w:hAnsi="Times New Roman" w:eastAsia="宋体" w:cs="Times New Roman"/>
          <w:snapToGrid w:val="0"/>
          <w:color w:val="auto"/>
          <w:spacing w:val="-16"/>
          <w:kern w:val="21"/>
          <w:highlight w:val="none"/>
        </w:rPr>
        <w:fldChar w:fldCharType="end"/>
      </w:r>
      <w:r>
        <w:rPr>
          <w:rFonts w:hint="default" w:ascii="Times New Roman" w:hAnsi="Times New Roman" w:eastAsia="宋体" w:cs="Times New Roman"/>
          <w:snapToGrid w:val="0"/>
          <w:color w:val="auto"/>
          <w:spacing w:val="-16"/>
          <w:kern w:val="21"/>
          <w:highlight w:val="none"/>
        </w:rPr>
        <w:t>=</w:t>
      </w:r>
      <w:r>
        <w:rPr>
          <w:rFonts w:hint="default" w:ascii="Times New Roman" w:hAnsi="Times New Roman" w:eastAsia="宋体" w:cs="Times New Roman"/>
          <w:snapToGrid w:val="0"/>
          <w:color w:val="auto"/>
          <w:spacing w:val="-6"/>
          <w:kern w:val="21"/>
          <w:highlight w:val="none"/>
        </w:rPr>
        <w:fldChar w:fldCharType="begin"/>
      </w:r>
      <w:r>
        <w:rPr>
          <w:rFonts w:hint="default" w:ascii="Times New Roman" w:hAnsi="Times New Roman" w:eastAsia="宋体" w:cs="Times New Roman"/>
          <w:snapToGrid w:val="0"/>
          <w:color w:val="auto"/>
          <w:spacing w:val="-6"/>
          <w:kern w:val="21"/>
          <w:highlight w:val="none"/>
        </w:rPr>
        <w:instrText xml:space="preserve"> = 1 \* GB3 \* MERGEFORMAT </w:instrText>
      </w:r>
      <w:r>
        <w:rPr>
          <w:rFonts w:hint="default" w:ascii="Times New Roman" w:hAnsi="Times New Roman" w:eastAsia="宋体" w:cs="Times New Roman"/>
          <w:snapToGrid w:val="0"/>
          <w:color w:val="auto"/>
          <w:spacing w:val="-6"/>
          <w:kern w:val="21"/>
          <w:highlight w:val="none"/>
        </w:rPr>
        <w:fldChar w:fldCharType="separate"/>
      </w:r>
      <w:r>
        <w:rPr>
          <w:rFonts w:hint="default" w:ascii="Times New Roman" w:hAnsi="Times New Roman" w:eastAsia="宋体" w:cs="Times New Roman"/>
          <w:color w:val="auto"/>
          <w:highlight w:val="none"/>
        </w:rPr>
        <w:t>①</w:t>
      </w:r>
      <w:r>
        <w:rPr>
          <w:rFonts w:hint="default" w:ascii="Times New Roman" w:hAnsi="Times New Roman" w:eastAsia="宋体" w:cs="Times New Roman"/>
          <w:snapToGrid w:val="0"/>
          <w:color w:val="auto"/>
          <w:spacing w:val="-6"/>
          <w:kern w:val="21"/>
          <w:highlight w:val="none"/>
        </w:rPr>
        <w:fldChar w:fldCharType="end"/>
      </w:r>
      <w:r>
        <w:rPr>
          <w:rFonts w:hint="default" w:ascii="Times New Roman" w:hAnsi="Times New Roman" w:eastAsia="宋体" w:cs="Times New Roman"/>
          <w:snapToGrid w:val="0"/>
          <w:color w:val="auto"/>
          <w:spacing w:val="-6"/>
          <w:kern w:val="21"/>
          <w:highlight w:val="none"/>
        </w:rPr>
        <w:t>+</w:t>
      </w:r>
      <w:r>
        <w:rPr>
          <w:rFonts w:hint="default" w:ascii="Times New Roman" w:hAnsi="Times New Roman" w:eastAsia="宋体" w:cs="Times New Roman"/>
          <w:snapToGrid w:val="0"/>
          <w:color w:val="auto"/>
          <w:spacing w:val="-6"/>
          <w:kern w:val="21"/>
          <w:highlight w:val="none"/>
        </w:rPr>
        <w:fldChar w:fldCharType="begin"/>
      </w:r>
      <w:r>
        <w:rPr>
          <w:rFonts w:hint="default" w:ascii="Times New Roman" w:hAnsi="Times New Roman" w:eastAsia="宋体" w:cs="Times New Roman"/>
          <w:snapToGrid w:val="0"/>
          <w:color w:val="auto"/>
          <w:spacing w:val="-6"/>
          <w:kern w:val="21"/>
          <w:highlight w:val="none"/>
        </w:rPr>
        <w:instrText xml:space="preserve"> = 3 \* GB3 \* MERGEFORMAT </w:instrText>
      </w:r>
      <w:r>
        <w:rPr>
          <w:rFonts w:hint="default" w:ascii="Times New Roman" w:hAnsi="Times New Roman" w:eastAsia="宋体" w:cs="Times New Roman"/>
          <w:snapToGrid w:val="0"/>
          <w:color w:val="auto"/>
          <w:spacing w:val="-6"/>
          <w:kern w:val="21"/>
          <w:highlight w:val="none"/>
        </w:rPr>
        <w:fldChar w:fldCharType="separate"/>
      </w:r>
      <w:r>
        <w:rPr>
          <w:rFonts w:hint="default" w:ascii="Times New Roman" w:hAnsi="Times New Roman" w:eastAsia="宋体" w:cs="Times New Roman"/>
          <w:color w:val="auto"/>
          <w:highlight w:val="none"/>
        </w:rPr>
        <w:t>③</w:t>
      </w:r>
      <w:r>
        <w:rPr>
          <w:rFonts w:hint="default" w:ascii="Times New Roman" w:hAnsi="Times New Roman" w:eastAsia="宋体" w:cs="Times New Roman"/>
          <w:snapToGrid w:val="0"/>
          <w:color w:val="auto"/>
          <w:spacing w:val="-6"/>
          <w:kern w:val="21"/>
          <w:highlight w:val="none"/>
        </w:rPr>
        <w:fldChar w:fldCharType="end"/>
      </w:r>
      <w:r>
        <w:rPr>
          <w:rFonts w:hint="default" w:ascii="Times New Roman" w:hAnsi="Times New Roman" w:eastAsia="宋体" w:cs="Times New Roman"/>
          <w:snapToGrid w:val="0"/>
          <w:color w:val="auto"/>
          <w:spacing w:val="-6"/>
          <w:kern w:val="21"/>
          <w:highlight w:val="none"/>
        </w:rPr>
        <w:t>+</w:t>
      </w:r>
      <w:r>
        <w:rPr>
          <w:rFonts w:hint="default" w:ascii="Times New Roman" w:hAnsi="Times New Roman" w:eastAsia="宋体" w:cs="Times New Roman"/>
          <w:snapToGrid w:val="0"/>
          <w:color w:val="auto"/>
          <w:spacing w:val="-6"/>
          <w:kern w:val="21"/>
          <w:highlight w:val="none"/>
        </w:rPr>
        <w:fldChar w:fldCharType="begin"/>
      </w:r>
      <w:r>
        <w:rPr>
          <w:rFonts w:hint="default" w:ascii="Times New Roman" w:hAnsi="Times New Roman" w:eastAsia="宋体" w:cs="Times New Roman"/>
          <w:snapToGrid w:val="0"/>
          <w:color w:val="auto"/>
          <w:spacing w:val="-6"/>
          <w:kern w:val="21"/>
          <w:highlight w:val="none"/>
        </w:rPr>
        <w:instrText xml:space="preserve"> = 4 \* GB3 \* MERGEFORMAT </w:instrText>
      </w:r>
      <w:r>
        <w:rPr>
          <w:rFonts w:hint="default" w:ascii="Times New Roman" w:hAnsi="Times New Roman" w:eastAsia="宋体" w:cs="Times New Roman"/>
          <w:snapToGrid w:val="0"/>
          <w:color w:val="auto"/>
          <w:spacing w:val="-6"/>
          <w:kern w:val="21"/>
          <w:highlight w:val="none"/>
        </w:rPr>
        <w:fldChar w:fldCharType="separate"/>
      </w:r>
      <w:r>
        <w:rPr>
          <w:rFonts w:hint="default" w:ascii="Times New Roman" w:hAnsi="Times New Roman" w:eastAsia="宋体" w:cs="Times New Roman"/>
          <w:color w:val="auto"/>
          <w:highlight w:val="none"/>
        </w:rPr>
        <w:t>④</w:t>
      </w:r>
      <w:r>
        <w:rPr>
          <w:rFonts w:hint="default" w:ascii="Times New Roman" w:hAnsi="Times New Roman" w:eastAsia="宋体" w:cs="Times New Roman"/>
          <w:snapToGrid w:val="0"/>
          <w:color w:val="auto"/>
          <w:spacing w:val="-6"/>
          <w:kern w:val="21"/>
          <w:highlight w:val="none"/>
        </w:rPr>
        <w:fldChar w:fldCharType="end"/>
      </w:r>
      <w:r>
        <w:rPr>
          <w:rFonts w:hint="default" w:ascii="Times New Roman" w:hAnsi="Times New Roman" w:eastAsia="宋体" w:cs="Times New Roman"/>
          <w:snapToGrid w:val="0"/>
          <w:color w:val="auto"/>
          <w:spacing w:val="-6"/>
          <w:kern w:val="21"/>
          <w:highlight w:val="none"/>
        </w:rPr>
        <w:t>-</w:t>
      </w:r>
      <w:r>
        <w:rPr>
          <w:rFonts w:hint="default" w:ascii="Times New Roman" w:hAnsi="Times New Roman" w:eastAsia="宋体" w:cs="Times New Roman"/>
          <w:snapToGrid w:val="0"/>
          <w:color w:val="auto"/>
          <w:spacing w:val="-16"/>
          <w:kern w:val="21"/>
          <w:highlight w:val="none"/>
        </w:rPr>
        <w:fldChar w:fldCharType="begin"/>
      </w:r>
      <w:r>
        <w:rPr>
          <w:rFonts w:hint="default" w:ascii="Times New Roman" w:hAnsi="Times New Roman" w:eastAsia="宋体" w:cs="Times New Roman"/>
          <w:snapToGrid w:val="0"/>
          <w:color w:val="auto"/>
          <w:spacing w:val="-16"/>
          <w:kern w:val="21"/>
          <w:highlight w:val="none"/>
        </w:rPr>
        <w:instrText xml:space="preserve"> = 5 \* GB3 \* MERGEFORMAT </w:instrText>
      </w:r>
      <w:r>
        <w:rPr>
          <w:rFonts w:hint="default" w:ascii="Times New Roman" w:hAnsi="Times New Roman" w:eastAsia="宋体" w:cs="Times New Roman"/>
          <w:snapToGrid w:val="0"/>
          <w:color w:val="auto"/>
          <w:spacing w:val="-16"/>
          <w:kern w:val="21"/>
          <w:highlight w:val="none"/>
        </w:rPr>
        <w:fldChar w:fldCharType="separate"/>
      </w:r>
      <w:r>
        <w:rPr>
          <w:rFonts w:hint="default" w:ascii="Times New Roman" w:hAnsi="Times New Roman" w:eastAsia="宋体" w:cs="Times New Roman"/>
          <w:color w:val="auto"/>
          <w:highlight w:val="none"/>
        </w:rPr>
        <w:t>⑤</w:t>
      </w:r>
      <w:r>
        <w:rPr>
          <w:rFonts w:hint="default" w:ascii="Times New Roman" w:hAnsi="Times New Roman" w:eastAsia="宋体" w:cs="Times New Roman"/>
          <w:snapToGrid w:val="0"/>
          <w:color w:val="auto"/>
          <w:spacing w:val="-16"/>
          <w:kern w:val="21"/>
          <w:highlight w:val="none"/>
        </w:rPr>
        <w:fldChar w:fldCharType="end"/>
      </w:r>
      <w:r>
        <w:rPr>
          <w:rFonts w:hint="default" w:ascii="Times New Roman" w:hAnsi="Times New Roman" w:eastAsia="宋体" w:cs="Times New Roman"/>
          <w:snapToGrid w:val="0"/>
          <w:color w:val="auto"/>
          <w:spacing w:val="-16"/>
          <w:kern w:val="21"/>
          <w:highlight w:val="none"/>
        </w:rPr>
        <w:t>；</w:t>
      </w:r>
      <w:r>
        <w:rPr>
          <w:rFonts w:hint="default" w:ascii="Times New Roman" w:hAnsi="Times New Roman" w:eastAsia="宋体" w:cs="Times New Roman"/>
          <w:snapToGrid w:val="0"/>
          <w:color w:val="auto"/>
          <w:spacing w:val="-6"/>
          <w:kern w:val="21"/>
          <w:highlight w:val="none"/>
        </w:rPr>
        <w:fldChar w:fldCharType="begin"/>
      </w:r>
      <w:r>
        <w:rPr>
          <w:rFonts w:hint="default" w:ascii="Times New Roman" w:hAnsi="Times New Roman" w:eastAsia="宋体" w:cs="Times New Roman"/>
          <w:snapToGrid w:val="0"/>
          <w:color w:val="auto"/>
          <w:spacing w:val="-6"/>
          <w:kern w:val="21"/>
          <w:highlight w:val="none"/>
        </w:rPr>
        <w:instrText xml:space="preserve"> = 7 \* GB3 \* MERGEFORMAT </w:instrText>
      </w:r>
      <w:r>
        <w:rPr>
          <w:rFonts w:hint="default" w:ascii="Times New Roman" w:hAnsi="Times New Roman" w:eastAsia="宋体" w:cs="Times New Roman"/>
          <w:snapToGrid w:val="0"/>
          <w:color w:val="auto"/>
          <w:spacing w:val="-6"/>
          <w:kern w:val="21"/>
          <w:highlight w:val="none"/>
        </w:rPr>
        <w:fldChar w:fldCharType="separate"/>
      </w:r>
      <w:r>
        <w:rPr>
          <w:rFonts w:hint="default" w:ascii="Times New Roman" w:hAnsi="Times New Roman" w:eastAsia="宋体" w:cs="Times New Roman"/>
          <w:color w:val="auto"/>
          <w:highlight w:val="none"/>
        </w:rPr>
        <w:t>⑦</w:t>
      </w:r>
      <w:r>
        <w:rPr>
          <w:rFonts w:hint="default" w:ascii="Times New Roman" w:hAnsi="Times New Roman" w:eastAsia="宋体" w:cs="Times New Roman"/>
          <w:snapToGrid w:val="0"/>
          <w:color w:val="auto"/>
          <w:spacing w:val="-6"/>
          <w:kern w:val="21"/>
          <w:highlight w:val="none"/>
        </w:rPr>
        <w:fldChar w:fldCharType="end"/>
      </w:r>
      <w:r>
        <w:rPr>
          <w:rFonts w:hint="default" w:ascii="Times New Roman" w:hAnsi="Times New Roman" w:eastAsia="宋体" w:cs="Times New Roman"/>
          <w:snapToGrid w:val="0"/>
          <w:color w:val="auto"/>
          <w:spacing w:val="-6"/>
          <w:kern w:val="21"/>
          <w:highlight w:val="none"/>
        </w:rPr>
        <w:t>=</w:t>
      </w:r>
      <w:r>
        <w:rPr>
          <w:rFonts w:hint="default" w:ascii="Times New Roman" w:hAnsi="Times New Roman" w:eastAsia="宋体" w:cs="Times New Roman"/>
          <w:snapToGrid w:val="0"/>
          <w:color w:val="auto"/>
          <w:spacing w:val="-16"/>
          <w:kern w:val="21"/>
          <w:highlight w:val="none"/>
        </w:rPr>
        <w:fldChar w:fldCharType="begin"/>
      </w:r>
      <w:r>
        <w:rPr>
          <w:rFonts w:hint="default" w:ascii="Times New Roman" w:hAnsi="Times New Roman" w:eastAsia="宋体" w:cs="Times New Roman"/>
          <w:snapToGrid w:val="0"/>
          <w:color w:val="auto"/>
          <w:spacing w:val="-16"/>
          <w:kern w:val="21"/>
          <w:highlight w:val="none"/>
        </w:rPr>
        <w:instrText xml:space="preserve"> = 6 \* GB3 \* MERGEFORMAT </w:instrText>
      </w:r>
      <w:r>
        <w:rPr>
          <w:rFonts w:hint="default" w:ascii="Times New Roman" w:hAnsi="Times New Roman" w:eastAsia="宋体" w:cs="Times New Roman"/>
          <w:snapToGrid w:val="0"/>
          <w:color w:val="auto"/>
          <w:spacing w:val="-16"/>
          <w:kern w:val="21"/>
          <w:highlight w:val="none"/>
        </w:rPr>
        <w:fldChar w:fldCharType="separate"/>
      </w:r>
      <w:r>
        <w:rPr>
          <w:rFonts w:hint="default" w:ascii="Times New Roman" w:hAnsi="Times New Roman" w:eastAsia="宋体" w:cs="Times New Roman"/>
          <w:color w:val="auto"/>
          <w:highlight w:val="none"/>
        </w:rPr>
        <w:t>⑥</w:t>
      </w:r>
      <w:r>
        <w:rPr>
          <w:rFonts w:hint="default" w:ascii="Times New Roman" w:hAnsi="Times New Roman" w:eastAsia="宋体" w:cs="Times New Roman"/>
          <w:snapToGrid w:val="0"/>
          <w:color w:val="auto"/>
          <w:spacing w:val="-16"/>
          <w:kern w:val="21"/>
          <w:highlight w:val="none"/>
        </w:rPr>
        <w:fldChar w:fldCharType="end"/>
      </w:r>
      <w:r>
        <w:rPr>
          <w:rFonts w:hint="default" w:ascii="Times New Roman" w:hAnsi="Times New Roman" w:eastAsia="宋体" w:cs="Times New Roman"/>
          <w:snapToGrid w:val="0"/>
          <w:color w:val="auto"/>
          <w:spacing w:val="-16"/>
          <w:kern w:val="21"/>
          <w:highlight w:val="none"/>
        </w:rPr>
        <w:t>-</w:t>
      </w:r>
      <w:r>
        <w:rPr>
          <w:rFonts w:hint="default" w:ascii="Times New Roman" w:hAnsi="Times New Roman" w:eastAsia="宋体" w:cs="Times New Roman"/>
          <w:snapToGrid w:val="0"/>
          <w:color w:val="auto"/>
          <w:spacing w:val="-6"/>
          <w:kern w:val="21"/>
          <w:highlight w:val="none"/>
        </w:rPr>
        <w:fldChar w:fldCharType="begin"/>
      </w:r>
      <w:r>
        <w:rPr>
          <w:rFonts w:hint="default" w:ascii="Times New Roman" w:hAnsi="Times New Roman" w:eastAsia="宋体" w:cs="Times New Roman"/>
          <w:snapToGrid w:val="0"/>
          <w:color w:val="auto"/>
          <w:spacing w:val="-6"/>
          <w:kern w:val="21"/>
          <w:highlight w:val="none"/>
        </w:rPr>
        <w:instrText xml:space="preserve"> = 1 \* GB3 \* MERGEFORMAT </w:instrText>
      </w:r>
      <w:r>
        <w:rPr>
          <w:rFonts w:hint="default" w:ascii="Times New Roman" w:hAnsi="Times New Roman" w:eastAsia="宋体" w:cs="Times New Roman"/>
          <w:snapToGrid w:val="0"/>
          <w:color w:val="auto"/>
          <w:spacing w:val="-6"/>
          <w:kern w:val="21"/>
          <w:highlight w:val="none"/>
        </w:rPr>
        <w:fldChar w:fldCharType="separate"/>
      </w:r>
      <w:r>
        <w:rPr>
          <w:rFonts w:hint="default" w:ascii="Times New Roman" w:hAnsi="Times New Roman" w:eastAsia="宋体" w:cs="Times New Roman"/>
          <w:color w:val="auto"/>
          <w:highlight w:val="none"/>
        </w:rPr>
        <w:t>①</w:t>
      </w:r>
      <w:r>
        <w:rPr>
          <w:rFonts w:hint="default" w:ascii="Times New Roman" w:hAnsi="Times New Roman" w:eastAsia="宋体" w:cs="Times New Roman"/>
          <w:snapToGrid w:val="0"/>
          <w:color w:val="auto"/>
          <w:spacing w:val="-6"/>
          <w:kern w:val="21"/>
          <w:highlight w:val="none"/>
        </w:rPr>
        <w:fldChar w:fldCharType="end"/>
      </w:r>
    </w:p>
    <w:p>
      <w:pPr>
        <w:kinsoku/>
        <w:wordWrap/>
        <w:bidi w:val="0"/>
        <w:spacing w:line="360" w:lineRule="auto"/>
        <w:ind w:left="0" w:leftChars="0" w:right="0" w:rightChars="0" w:firstLine="0" w:firstLineChars="0"/>
        <w:rPr>
          <w:rFonts w:hint="eastAsia" w:cs="Times New Roman"/>
          <w:color w:val="auto"/>
          <w:highlight w:val="none"/>
          <w:lang w:val="en-US" w:eastAsia="zh-CN"/>
        </w:rPr>
      </w:pPr>
    </w:p>
    <w:p>
      <w:pPr>
        <w:kinsoku/>
        <w:wordWrap/>
        <w:bidi w:val="0"/>
        <w:spacing w:line="360" w:lineRule="auto"/>
        <w:ind w:left="0" w:leftChars="0" w:right="0" w:rightChars="0" w:firstLine="0" w:firstLineChars="0"/>
        <w:rPr>
          <w:rFonts w:hint="eastAsia" w:cs="Times New Roman"/>
          <w:color w:val="auto"/>
          <w:highlight w:val="none"/>
          <w:lang w:val="en-US" w:eastAsia="zh-CN"/>
        </w:rPr>
        <w:sectPr>
          <w:footerReference r:id="rId6" w:type="default"/>
          <w:pgSz w:w="16838" w:h="11906" w:orient="landscape"/>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6"/>
        <w:bidi w:val="0"/>
        <w:rPr>
          <w:rFonts w:hint="eastAsia"/>
          <w:lang w:val="en-US" w:eastAsia="zh-CN"/>
        </w:rPr>
      </w:pPr>
      <w:r>
        <w:rPr>
          <w:rFonts w:hint="eastAsia"/>
          <w:lang w:val="en-US" w:eastAsia="zh-CN"/>
        </w:rPr>
        <w:t>附图1：改建项目地理位置图</w:t>
      </w:r>
    </w:p>
    <w:p>
      <w:pPr>
        <w:pStyle w:val="6"/>
        <w:bidi w:val="0"/>
        <w:jc w:val="center"/>
        <w:rPr>
          <w:rFonts w:hint="eastAsia"/>
          <w:lang w:val="en-US" w:eastAsia="zh-CN"/>
        </w:rPr>
        <w:sectPr>
          <w:pgSz w:w="16838" w:h="11906" w:orient="landscape"/>
          <w:pgMar w:top="1800" w:right="1440" w:bottom="1800" w:left="1440" w:header="851" w:footer="992" w:gutter="0"/>
          <w:cols w:space="720" w:num="1"/>
          <w:docGrid w:type="lines" w:linePitch="312" w:charSpace="0"/>
        </w:sectPr>
      </w:pPr>
      <w:r>
        <w:drawing>
          <wp:anchor distT="0" distB="0" distL="114300" distR="114300" simplePos="0" relativeHeight="251660288" behindDoc="0" locked="0" layoutInCell="1" allowOverlap="1">
            <wp:simplePos x="0" y="0"/>
            <wp:positionH relativeFrom="column">
              <wp:posOffset>8264525</wp:posOffset>
            </wp:positionH>
            <wp:positionV relativeFrom="paragraph">
              <wp:posOffset>48895</wp:posOffset>
            </wp:positionV>
            <wp:extent cx="290195" cy="352425"/>
            <wp:effectExtent l="0" t="0" r="14605" b="9525"/>
            <wp:wrapNone/>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32"/>
                    <a:stretch>
                      <a:fillRect/>
                    </a:stretch>
                  </pic:blipFill>
                  <pic:spPr>
                    <a:xfrm flipH="1">
                      <a:off x="0" y="0"/>
                      <a:ext cx="290195" cy="352425"/>
                    </a:xfrm>
                    <a:prstGeom prst="rect">
                      <a:avLst/>
                    </a:prstGeom>
                    <a:noFill/>
                    <a:ln>
                      <a:noFill/>
                    </a:ln>
                  </pic:spPr>
                </pic:pic>
              </a:graphicData>
            </a:graphic>
          </wp:anchor>
        </w:drawing>
      </w:r>
      <w:r>
        <w:rPr>
          <w:sz w:val="24"/>
        </w:rPr>
        <mc:AlternateContent>
          <mc:Choice Requires="wps">
            <w:drawing>
              <wp:anchor distT="0" distB="0" distL="114300" distR="114300" simplePos="0" relativeHeight="251659264" behindDoc="0" locked="0" layoutInCell="1" allowOverlap="1">
                <wp:simplePos x="0" y="0"/>
                <wp:positionH relativeFrom="column">
                  <wp:posOffset>4460875</wp:posOffset>
                </wp:positionH>
                <wp:positionV relativeFrom="paragraph">
                  <wp:posOffset>2110740</wp:posOffset>
                </wp:positionV>
                <wp:extent cx="2486025" cy="419100"/>
                <wp:effectExtent l="4445" t="4445" r="5080" b="243205"/>
                <wp:wrapNone/>
                <wp:docPr id="14" name="圆角矩形标注 14"/>
                <wp:cNvGraphicFramePr/>
                <a:graphic xmlns:a="http://schemas.openxmlformats.org/drawingml/2006/main">
                  <a:graphicData uri="http://schemas.microsoft.com/office/word/2010/wordprocessingShape">
                    <wps:wsp>
                      <wps:cNvSpPr/>
                      <wps:spPr>
                        <a:xfrm>
                          <a:off x="0" y="0"/>
                          <a:ext cx="2486025" cy="419100"/>
                        </a:xfrm>
                        <a:prstGeom prst="wedgeRoundRectCallout">
                          <a:avLst>
                            <a:gd name="adj1" fmla="val -40292"/>
                            <a:gd name="adj2" fmla="val 101819"/>
                            <a:gd name="adj3" fmla="val 16667"/>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b/>
                                <w:bCs/>
                                <w:lang w:val="en-US" w:eastAsia="zh-CN"/>
                              </w:rPr>
                            </w:pPr>
                            <w:r>
                              <w:rPr>
                                <w:rFonts w:hint="eastAsia"/>
                                <w:b/>
                                <w:bCs/>
                                <w:lang w:val="en-US" w:eastAsia="zh-CN"/>
                              </w:rPr>
                              <w:t>内蒙古大中矿业股份有限公司</w:t>
                            </w:r>
                          </w:p>
                        </w:txbxContent>
                      </wps:txbx>
                      <wps:bodyPr upright="1"/>
                    </wps:wsp>
                  </a:graphicData>
                </a:graphic>
              </wp:anchor>
            </w:drawing>
          </mc:Choice>
          <mc:Fallback>
            <w:pict>
              <v:shape id="_x0000_s1026" o:spid="_x0000_s1026" o:spt="62" type="#_x0000_t62" style="position:absolute;left:0pt;margin-left:351.25pt;margin-top:166.2pt;height:33pt;width:195.75pt;z-index:251659264;mso-width-relative:page;mso-height-relative:page;" fillcolor="#FFFFFF" filled="t" stroked="t" coordsize="21600,21600" o:gfxdata="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MFfh02wAAAAwB&#10;AAAPAAAAAAAAAAEAIAAAACIAAABkcnMvZG93bnJldi54bWxQSwECFAAUAAAACACHTuJAaJiMHVEC&#10;AAC/BAAADgAAAAAAAAABACAAAAAqAQAAZHJzL2Uyb0RvYy54bWxQSwUGAAAAAAYABgBZAQAA7QUA&#10;AAAA&#10;" adj="2097,32793,14400">
                <v:fill on="t" focussize="0,0"/>
                <v:stroke color="#000000"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b/>
                          <w:bCs/>
                          <w:lang w:val="en-US" w:eastAsia="zh-CN"/>
                        </w:rPr>
                      </w:pPr>
                      <w:r>
                        <w:rPr>
                          <w:rFonts w:hint="eastAsia"/>
                          <w:b/>
                          <w:bCs/>
                          <w:lang w:val="en-US" w:eastAsia="zh-CN"/>
                        </w:rPr>
                        <w:t>内蒙古大中矿业股份有限公司</w:t>
                      </w:r>
                    </w:p>
                  </w:txbxContent>
                </v:textbox>
              </v:shape>
            </w:pict>
          </mc:Fallback>
        </mc:AlternateContent>
      </w:r>
      <w:r>
        <w:drawing>
          <wp:inline distT="0" distB="0" distL="114300" distR="114300">
            <wp:extent cx="8308340" cy="4679950"/>
            <wp:effectExtent l="0" t="0" r="16510" b="6350"/>
            <wp:docPr id="1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3"/>
                    <pic:cNvPicPr>
                      <a:picLocks noChangeAspect="1"/>
                    </pic:cNvPicPr>
                  </pic:nvPicPr>
                  <pic:blipFill>
                    <a:blip r:embed="rId33"/>
                    <a:stretch>
                      <a:fillRect/>
                    </a:stretch>
                  </pic:blipFill>
                  <pic:spPr>
                    <a:xfrm>
                      <a:off x="0" y="0"/>
                      <a:ext cx="8308340" cy="4679950"/>
                    </a:xfrm>
                    <a:prstGeom prst="rect">
                      <a:avLst/>
                    </a:prstGeom>
                    <a:noFill/>
                    <a:ln>
                      <a:noFill/>
                    </a:ln>
                  </pic:spPr>
                </pic:pic>
              </a:graphicData>
            </a:graphic>
          </wp:inline>
        </w:drawing>
      </w:r>
    </w:p>
    <w:p>
      <w:pPr>
        <w:pStyle w:val="6"/>
        <w:bidi w:val="0"/>
        <w:rPr>
          <w:rFonts w:hint="eastAsia"/>
          <w:lang w:val="en-US" w:eastAsia="zh-CN"/>
        </w:rPr>
      </w:pPr>
      <w:r>
        <w:rPr>
          <w:rFonts w:hint="eastAsia"/>
          <w:lang w:val="en-US" w:eastAsia="zh-CN"/>
        </w:rPr>
        <w:t>附图2：改建项目所在地管控单元图</w:t>
      </w:r>
    </w:p>
    <w:p>
      <w:pPr>
        <w:jc w:val="center"/>
        <w:rPr>
          <w:rFonts w:hint="default"/>
          <w:lang w:val="en-US" w:eastAsia="zh-CN"/>
        </w:rPr>
        <w:sectPr>
          <w:pgSz w:w="16838" w:h="11906" w:orient="landscape"/>
          <w:pgMar w:top="1800" w:right="1440" w:bottom="1800" w:left="1440" w:header="851" w:footer="992" w:gutter="0"/>
          <w:cols w:space="720" w:num="1"/>
          <w:docGrid w:type="lines" w:linePitch="312" w:charSpace="0"/>
        </w:sectPr>
      </w:pPr>
      <w:r>
        <w:drawing>
          <wp:inline distT="0" distB="0" distL="114300" distR="114300">
            <wp:extent cx="6728460" cy="4480560"/>
            <wp:effectExtent l="0" t="0" r="15240" b="15240"/>
            <wp:docPr id="1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4"/>
                    <pic:cNvPicPr>
                      <a:picLocks noChangeAspect="1"/>
                    </pic:cNvPicPr>
                  </pic:nvPicPr>
                  <pic:blipFill>
                    <a:blip r:embed="rId34"/>
                    <a:stretch>
                      <a:fillRect/>
                    </a:stretch>
                  </pic:blipFill>
                  <pic:spPr>
                    <a:xfrm>
                      <a:off x="0" y="0"/>
                      <a:ext cx="6728460" cy="4480560"/>
                    </a:xfrm>
                    <a:prstGeom prst="rect">
                      <a:avLst/>
                    </a:prstGeom>
                    <a:noFill/>
                    <a:ln>
                      <a:noFill/>
                    </a:ln>
                  </pic:spPr>
                </pic:pic>
              </a:graphicData>
            </a:graphic>
          </wp:inline>
        </w:drawing>
      </w:r>
    </w:p>
    <w:p>
      <w:pPr>
        <w:pStyle w:val="6"/>
        <w:bidi w:val="0"/>
        <w:rPr>
          <w:rFonts w:hint="eastAsia"/>
          <w:lang w:val="en-US" w:eastAsia="zh-CN"/>
        </w:rPr>
      </w:pPr>
      <w:r>
        <w:rPr>
          <w:rFonts w:hint="eastAsia"/>
          <w:lang w:val="en-US" w:eastAsia="zh-CN"/>
        </w:rPr>
        <w:t>附图3：改建项目平面布置图</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drawing>
          <wp:inline distT="0" distB="0" distL="114300" distR="114300">
            <wp:extent cx="9110980" cy="4679950"/>
            <wp:effectExtent l="0" t="0" r="13970" b="6350"/>
            <wp:docPr id="1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5"/>
                    <pic:cNvPicPr>
                      <a:picLocks noChangeAspect="1"/>
                    </pic:cNvPicPr>
                  </pic:nvPicPr>
                  <pic:blipFill>
                    <a:blip r:embed="rId35"/>
                    <a:stretch>
                      <a:fillRect/>
                    </a:stretch>
                  </pic:blipFill>
                  <pic:spPr>
                    <a:xfrm>
                      <a:off x="0" y="0"/>
                      <a:ext cx="9110980" cy="46799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lang w:val="en-US" w:eastAsia="zh-CN"/>
        </w:rPr>
      </w:pPr>
    </w:p>
    <w:p>
      <w:pPr>
        <w:pStyle w:val="26"/>
        <w:ind w:left="0" w:leftChars="0" w:firstLine="0" w:firstLineChars="0"/>
        <w:rPr>
          <w:rFonts w:hint="eastAsia"/>
          <w:lang w:val="en-US" w:eastAsia="zh-CN"/>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6"/>
        <w:bidi w:val="0"/>
        <w:rPr>
          <w:rFonts w:hint="eastAsia" w:ascii="Times New Roman" w:hAnsi="Times New Roman" w:eastAsia="宋体" w:cs="Times New Roman"/>
          <w:sz w:val="28"/>
          <w:szCs w:val="28"/>
          <w:lang w:val="en-US" w:eastAsia="zh-CN"/>
        </w:rPr>
      </w:pPr>
      <w:r>
        <w:rPr>
          <w:rFonts w:hint="eastAsia"/>
          <w:sz w:val="28"/>
          <w:szCs w:val="24"/>
          <w:lang w:val="en-US" w:eastAsia="zh-CN"/>
        </w:rPr>
        <w:drawing>
          <wp:inline distT="0" distB="0" distL="114300" distR="114300">
            <wp:extent cx="5271135" cy="7453630"/>
            <wp:effectExtent l="0" t="0" r="5715" b="13970"/>
            <wp:docPr id="45" name="图片 45" descr="建设项目环境影响报告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建设项目环境影响报告表_01"/>
                    <pic:cNvPicPr>
                      <a:picLocks noChangeAspect="1"/>
                    </pic:cNvPicPr>
                  </pic:nvPicPr>
                  <pic:blipFill>
                    <a:blip r:embed="rId36"/>
                    <a:stretch>
                      <a:fillRect/>
                    </a:stretch>
                  </pic:blipFill>
                  <pic:spPr>
                    <a:xfrm>
                      <a:off x="0" y="0"/>
                      <a:ext cx="5271135" cy="7453630"/>
                    </a:xfrm>
                    <a:prstGeom prst="rect">
                      <a:avLst/>
                    </a:prstGeom>
                  </pic:spPr>
                </pic:pic>
              </a:graphicData>
            </a:graphic>
          </wp:inline>
        </w:drawing>
      </w:r>
    </w:p>
    <w:p>
      <w:pPr>
        <w:spacing w:line="240" w:lineRule="auto"/>
        <w:ind w:firstLine="0" w:firstLineChars="0"/>
        <w:jc w:val="right"/>
        <w:rPr>
          <w:rFonts w:hint="eastAsia" w:ascii="Times New Roman" w:hAnsi="Times New Roman" w:eastAsia="宋体" w:cs="Times New Roman"/>
          <w:sz w:val="28"/>
          <w:szCs w:val="28"/>
          <w:lang w:val="en-US" w:eastAsia="zh-CN"/>
        </w:rPr>
      </w:pPr>
    </w:p>
    <w:p>
      <w:pPr>
        <w:spacing w:line="240" w:lineRule="auto"/>
        <w:ind w:firstLine="0" w:firstLineChars="0"/>
        <w:jc w:val="right"/>
        <w:rPr>
          <w:rFonts w:hint="default" w:ascii="Times New Roman" w:hAnsi="Times New Roman" w:eastAsia="宋体" w:cs="Times New Roman"/>
          <w:sz w:val="28"/>
          <w:szCs w:val="28"/>
          <w:lang w:val="en-US" w:eastAsia="zh-CN"/>
        </w:rPr>
      </w:pPr>
    </w:p>
    <w:p>
      <w:pPr>
        <w:pStyle w:val="2"/>
        <w:rPr>
          <w:rFonts w:hint="default"/>
          <w:lang w:val="en-US" w:eastAsia="zh-CN"/>
        </w:rPr>
        <w:sectPr>
          <w:pgSz w:w="11906" w:h="16838"/>
          <w:pgMar w:top="1440" w:right="1800" w:bottom="1440" w:left="1800" w:header="851" w:footer="992" w:gutter="0"/>
          <w:cols w:space="720" w:num="1"/>
          <w:docGrid w:type="lines" w:linePitch="312" w:charSpace="0"/>
        </w:sectPr>
      </w:pPr>
    </w:p>
    <w:p>
      <w:pPr>
        <w:pStyle w:val="6"/>
        <w:bidi w:val="0"/>
        <w:rPr>
          <w:rFonts w:hint="default" w:eastAsia="宋体"/>
          <w:lang w:val="en-US" w:eastAsia="zh-CN"/>
        </w:rPr>
      </w:pPr>
      <w:r>
        <w:rPr>
          <w:rFonts w:hint="eastAsia"/>
          <w:sz w:val="28"/>
          <w:szCs w:val="24"/>
          <w:lang w:val="en-US" w:eastAsia="zh-CN"/>
        </w:rPr>
        <w:t>附件2</w:t>
      </w:r>
      <w:r>
        <w:rPr>
          <w:rFonts w:hint="eastAsia"/>
          <w:lang w:val="en-US" w:eastAsia="zh-CN"/>
        </w:rPr>
        <w:br w:type="textWrapping"/>
      </w:r>
      <w:r>
        <w:rPr>
          <w:rFonts w:hint="default" w:eastAsia="宋体"/>
          <w:lang w:val="en-US" w:eastAsia="zh-CN"/>
        </w:rPr>
        <w:drawing>
          <wp:inline distT="0" distB="0" distL="114300" distR="114300">
            <wp:extent cx="5255895" cy="7463155"/>
            <wp:effectExtent l="0" t="0" r="1905" b="4445"/>
            <wp:docPr id="16" name="图片 16" descr="2、150万吨东五份子选矿环评批复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150万吨东五份子选矿环评批复_00"/>
                    <pic:cNvPicPr>
                      <a:picLocks noChangeAspect="1"/>
                    </pic:cNvPicPr>
                  </pic:nvPicPr>
                  <pic:blipFill>
                    <a:blip r:embed="rId37"/>
                    <a:stretch>
                      <a:fillRect/>
                    </a:stretch>
                  </pic:blipFill>
                  <pic:spPr>
                    <a:xfrm>
                      <a:off x="0" y="0"/>
                      <a:ext cx="5255895" cy="7463155"/>
                    </a:xfrm>
                    <a:prstGeom prst="rect">
                      <a:avLst/>
                    </a:prstGeom>
                    <a:noFill/>
                    <a:ln>
                      <a:noFill/>
                    </a:ln>
                  </pic:spPr>
                </pic:pic>
              </a:graphicData>
            </a:graphic>
          </wp:inline>
        </w:drawing>
      </w:r>
    </w:p>
    <w:p>
      <w:pPr>
        <w:pStyle w:val="6"/>
        <w:bidi w:val="0"/>
        <w:rPr>
          <w:rFonts w:hint="default" w:eastAsia="宋体"/>
          <w:lang w:val="en-US" w:eastAsia="zh-CN"/>
        </w:rPr>
      </w:pPr>
      <w:r>
        <w:rPr>
          <w:rFonts w:hint="default" w:eastAsia="宋体"/>
          <w:lang w:val="en-US" w:eastAsia="zh-CN"/>
        </w:rPr>
        <w:drawing>
          <wp:inline distT="0" distB="0" distL="114300" distR="114300">
            <wp:extent cx="5255895" cy="7447280"/>
            <wp:effectExtent l="0" t="0" r="1905" b="1270"/>
            <wp:docPr id="18" name="图片 17" descr="2、150万吨东五份子选矿环评批复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descr="2、150万吨东五份子选矿环评批复_01"/>
                    <pic:cNvPicPr>
                      <a:picLocks noChangeAspect="1"/>
                    </pic:cNvPicPr>
                  </pic:nvPicPr>
                  <pic:blipFill>
                    <a:blip r:embed="rId38"/>
                    <a:stretch>
                      <a:fillRect/>
                    </a:stretch>
                  </pic:blipFill>
                  <pic:spPr>
                    <a:xfrm>
                      <a:off x="0" y="0"/>
                      <a:ext cx="5255895" cy="74472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b/>
          <w:bCs/>
          <w:sz w:val="28"/>
          <w:szCs w:val="24"/>
          <w:lang w:val="en-US" w:eastAsia="zh-CN"/>
        </w:rPr>
      </w:pPr>
      <w:r>
        <w:rPr>
          <w:rFonts w:hint="default"/>
          <w:b/>
          <w:bCs/>
          <w:sz w:val="28"/>
          <w:szCs w:val="24"/>
          <w:lang w:val="en-US" w:eastAsia="zh-CN"/>
        </w:rPr>
        <w:t>附件3</w:t>
      </w:r>
    </w:p>
    <w:p>
      <w:pPr>
        <w:pStyle w:val="6"/>
        <w:bidi w:val="0"/>
      </w:pPr>
      <w:r>
        <w:drawing>
          <wp:inline distT="0" distB="0" distL="114300" distR="114300">
            <wp:extent cx="5255895" cy="7369810"/>
            <wp:effectExtent l="0" t="0" r="1905" b="2540"/>
            <wp:docPr id="1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8"/>
                    <pic:cNvPicPr>
                      <a:picLocks noChangeAspect="1"/>
                    </pic:cNvPicPr>
                  </pic:nvPicPr>
                  <pic:blipFill>
                    <a:blip r:embed="rId39"/>
                    <a:stretch>
                      <a:fillRect/>
                    </a:stretch>
                  </pic:blipFill>
                  <pic:spPr>
                    <a:xfrm>
                      <a:off x="0" y="0"/>
                      <a:ext cx="5255895" cy="7369810"/>
                    </a:xfrm>
                    <a:prstGeom prst="rect">
                      <a:avLst/>
                    </a:prstGeom>
                    <a:noFill/>
                    <a:ln>
                      <a:noFill/>
                    </a:ln>
                  </pic:spPr>
                </pic:pic>
              </a:graphicData>
            </a:graphic>
          </wp:inline>
        </w:drawing>
      </w:r>
    </w:p>
    <w:p>
      <w:pPr>
        <w:pStyle w:val="6"/>
        <w:bidi w:val="0"/>
        <w:rPr>
          <w:rFonts w:hint="default"/>
          <w:lang w:val="en-US" w:eastAsia="zh-CN"/>
        </w:rPr>
      </w:pPr>
      <w:r>
        <w:rPr>
          <w:rFonts w:hint="eastAsia"/>
          <w:sz w:val="28"/>
          <w:szCs w:val="24"/>
          <w:lang w:val="en-US" w:eastAsia="zh-CN"/>
        </w:rPr>
        <w:t>附件4</w:t>
      </w:r>
      <w:r>
        <w:rPr>
          <w:rFonts w:hint="eastAsia"/>
          <w:lang w:val="en-US" w:eastAsia="zh-CN"/>
        </w:rPr>
        <w:br w:type="textWrapping"/>
      </w:r>
      <w:r>
        <w:rPr>
          <w:rFonts w:hint="default"/>
          <w:lang w:val="en-US" w:eastAsia="zh-CN"/>
        </w:rPr>
        <w:drawing>
          <wp:inline distT="0" distB="0" distL="114300" distR="114300">
            <wp:extent cx="5255895" cy="7502525"/>
            <wp:effectExtent l="0" t="0" r="1905" b="3175"/>
            <wp:docPr id="19" name="图片 19" descr="5、150万吨采矿扩建项目环评批复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5、150万吨采矿扩建项目环评批复_00"/>
                    <pic:cNvPicPr>
                      <a:picLocks noChangeAspect="1"/>
                    </pic:cNvPicPr>
                  </pic:nvPicPr>
                  <pic:blipFill>
                    <a:blip r:embed="rId40"/>
                    <a:stretch>
                      <a:fillRect/>
                    </a:stretch>
                  </pic:blipFill>
                  <pic:spPr>
                    <a:xfrm>
                      <a:off x="0" y="0"/>
                      <a:ext cx="5255895" cy="7502525"/>
                    </a:xfrm>
                    <a:prstGeom prst="rect">
                      <a:avLst/>
                    </a:prstGeom>
                    <a:noFill/>
                    <a:ln>
                      <a:noFill/>
                    </a:ln>
                  </pic:spPr>
                </pic:pic>
              </a:graphicData>
            </a:graphic>
          </wp:inline>
        </w:drawing>
      </w:r>
    </w:p>
    <w:p>
      <w:pPr>
        <w:pStyle w:val="6"/>
        <w:bidi w:val="0"/>
        <w:rPr>
          <w:rFonts w:hint="default"/>
          <w:lang w:val="en-US" w:eastAsia="zh-CN"/>
        </w:rPr>
      </w:pPr>
      <w:r>
        <w:rPr>
          <w:rFonts w:hint="default"/>
          <w:lang w:val="en-US" w:eastAsia="zh-CN"/>
        </w:rPr>
        <w:drawing>
          <wp:inline distT="0" distB="0" distL="114300" distR="114300">
            <wp:extent cx="5255895" cy="7433310"/>
            <wp:effectExtent l="0" t="0" r="1905" b="15240"/>
            <wp:docPr id="20" name="图片 20" descr="5、150万吨采矿扩建项目环评批复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5、150万吨采矿扩建项目环评批复_01"/>
                    <pic:cNvPicPr>
                      <a:picLocks noChangeAspect="1"/>
                    </pic:cNvPicPr>
                  </pic:nvPicPr>
                  <pic:blipFill>
                    <a:blip r:embed="rId41"/>
                    <a:stretch>
                      <a:fillRect/>
                    </a:stretch>
                  </pic:blipFill>
                  <pic:spPr>
                    <a:xfrm>
                      <a:off x="0" y="0"/>
                      <a:ext cx="5255895" cy="7433310"/>
                    </a:xfrm>
                    <a:prstGeom prst="rect">
                      <a:avLst/>
                    </a:prstGeom>
                    <a:noFill/>
                    <a:ln>
                      <a:noFill/>
                    </a:ln>
                  </pic:spPr>
                </pic:pic>
              </a:graphicData>
            </a:graphic>
          </wp:inline>
        </w:drawing>
      </w:r>
      <w:r>
        <w:rPr>
          <w:rFonts w:hint="default"/>
          <w:lang w:val="en-US" w:eastAsia="zh-CN"/>
        </w:rPr>
        <w:drawing>
          <wp:inline distT="0" distB="0" distL="114300" distR="114300">
            <wp:extent cx="5255895" cy="7633335"/>
            <wp:effectExtent l="0" t="0" r="1905" b="5715"/>
            <wp:docPr id="21" name="图片 21" descr="5、150万吨采矿扩建项目环评批复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5、150万吨采矿扩建项目环评批复_02"/>
                    <pic:cNvPicPr>
                      <a:picLocks noChangeAspect="1"/>
                    </pic:cNvPicPr>
                  </pic:nvPicPr>
                  <pic:blipFill>
                    <a:blip r:embed="rId42"/>
                    <a:stretch>
                      <a:fillRect/>
                    </a:stretch>
                  </pic:blipFill>
                  <pic:spPr>
                    <a:xfrm>
                      <a:off x="0" y="0"/>
                      <a:ext cx="5255895" cy="7633335"/>
                    </a:xfrm>
                    <a:prstGeom prst="rect">
                      <a:avLst/>
                    </a:prstGeom>
                    <a:noFill/>
                    <a:ln>
                      <a:noFill/>
                    </a:ln>
                  </pic:spPr>
                </pic:pic>
              </a:graphicData>
            </a:graphic>
          </wp:inline>
        </w:drawing>
      </w:r>
      <w:r>
        <w:rPr>
          <w:rFonts w:hint="default"/>
          <w:lang w:val="en-US" w:eastAsia="zh-CN"/>
        </w:rPr>
        <w:drawing>
          <wp:inline distT="0" distB="0" distL="114300" distR="114300">
            <wp:extent cx="5255895" cy="7465060"/>
            <wp:effectExtent l="0" t="0" r="1905" b="2540"/>
            <wp:docPr id="15" name="图片 22" descr="5、150万吨采矿扩建项目环评批复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2" descr="5、150万吨采矿扩建项目环评批复_03"/>
                    <pic:cNvPicPr>
                      <a:picLocks noChangeAspect="1"/>
                    </pic:cNvPicPr>
                  </pic:nvPicPr>
                  <pic:blipFill>
                    <a:blip r:embed="rId43"/>
                    <a:stretch>
                      <a:fillRect/>
                    </a:stretch>
                  </pic:blipFill>
                  <pic:spPr>
                    <a:xfrm>
                      <a:off x="0" y="0"/>
                      <a:ext cx="5255895" cy="7465060"/>
                    </a:xfrm>
                    <a:prstGeom prst="rect">
                      <a:avLst/>
                    </a:prstGeom>
                    <a:noFill/>
                    <a:ln>
                      <a:noFill/>
                    </a:ln>
                  </pic:spPr>
                </pic:pic>
              </a:graphicData>
            </a:graphic>
          </wp:inline>
        </w:drawing>
      </w:r>
    </w:p>
    <w:p>
      <w:pPr>
        <w:rPr>
          <w:rFonts w:hint="eastAsia"/>
          <w:sz w:val="28"/>
          <w:szCs w:val="24"/>
          <w:lang w:val="en-US" w:eastAsia="zh-CN"/>
        </w:rPr>
      </w:pPr>
    </w:p>
    <w:p>
      <w:pPr>
        <w:rPr>
          <w:rFonts w:hint="eastAsia"/>
          <w:sz w:val="28"/>
          <w:szCs w:val="24"/>
          <w:lang w:val="en-US" w:eastAsia="zh-CN"/>
        </w:rPr>
      </w:pPr>
    </w:p>
    <w:p>
      <w:pPr>
        <w:rPr>
          <w:rFonts w:hint="eastAsia"/>
          <w:sz w:val="28"/>
          <w:szCs w:val="24"/>
          <w:lang w:val="en-US" w:eastAsia="zh-CN"/>
        </w:rPr>
      </w:pPr>
    </w:p>
    <w:p>
      <w:pPr>
        <w:ind w:left="0" w:leftChars="0" w:firstLine="0" w:firstLineChars="0"/>
        <w:rPr>
          <w:rFonts w:hint="eastAsia"/>
          <w:b/>
          <w:bCs/>
          <w:sz w:val="28"/>
          <w:szCs w:val="24"/>
          <w:lang w:val="en-US" w:eastAsia="zh-CN"/>
        </w:rPr>
      </w:pPr>
      <w:r>
        <w:rPr>
          <w:rFonts w:hint="eastAsia"/>
          <w:b/>
          <w:bCs/>
          <w:sz w:val="28"/>
          <w:szCs w:val="24"/>
          <w:lang w:val="en-US" w:eastAsia="zh-CN"/>
        </w:rPr>
        <w:t>附件5</w:t>
      </w:r>
    </w:p>
    <w:p>
      <w:pPr>
        <w:ind w:left="0" w:leftChars="0" w:firstLine="0" w:firstLineChars="0"/>
        <w:rPr>
          <w:rFonts w:hint="default"/>
          <w:b/>
          <w:bCs/>
          <w:lang w:val="en-US" w:eastAsia="zh-CN"/>
        </w:rPr>
      </w:pPr>
      <w:r>
        <w:rPr>
          <w:rFonts w:hint="default"/>
          <w:lang w:val="en-US" w:eastAsia="zh-CN"/>
        </w:rPr>
        <w:drawing>
          <wp:inline distT="0" distB="0" distL="114300" distR="114300">
            <wp:extent cx="5255895" cy="7637780"/>
            <wp:effectExtent l="0" t="0" r="1905" b="1270"/>
            <wp:docPr id="24" name="图片 23" descr="6、150万吨采矿扩建项目东五份子竣工验收意见批复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descr="6、150万吨采矿扩建项目东五份子竣工验收意见批复_00"/>
                    <pic:cNvPicPr>
                      <a:picLocks noChangeAspect="1"/>
                    </pic:cNvPicPr>
                  </pic:nvPicPr>
                  <pic:blipFill>
                    <a:blip r:embed="rId44"/>
                    <a:stretch>
                      <a:fillRect/>
                    </a:stretch>
                  </pic:blipFill>
                  <pic:spPr>
                    <a:xfrm>
                      <a:off x="0" y="0"/>
                      <a:ext cx="5255895" cy="7637780"/>
                    </a:xfrm>
                    <a:prstGeom prst="rect">
                      <a:avLst/>
                    </a:prstGeom>
                    <a:noFill/>
                    <a:ln>
                      <a:noFill/>
                    </a:ln>
                  </pic:spPr>
                </pic:pic>
              </a:graphicData>
            </a:graphic>
          </wp:inline>
        </w:drawing>
      </w:r>
    </w:p>
    <w:p>
      <w:pPr>
        <w:pStyle w:val="6"/>
        <w:bidi w:val="0"/>
        <w:rPr>
          <w:rFonts w:hint="default"/>
          <w:lang w:val="en-US" w:eastAsia="zh-CN"/>
        </w:rPr>
        <w:sectPr>
          <w:pgSz w:w="11906" w:h="16838"/>
          <w:pgMar w:top="1440" w:right="1800" w:bottom="1440" w:left="1800" w:header="851" w:footer="992" w:gutter="0"/>
          <w:cols w:space="720" w:num="1"/>
          <w:docGrid w:type="lines" w:linePitch="312" w:charSpace="0"/>
        </w:sectPr>
      </w:pPr>
      <w:r>
        <w:rPr>
          <w:rFonts w:hint="default"/>
          <w:lang w:val="en-US" w:eastAsia="zh-CN"/>
        </w:rPr>
        <w:drawing>
          <wp:inline distT="0" distB="0" distL="114300" distR="114300">
            <wp:extent cx="5255895" cy="7734300"/>
            <wp:effectExtent l="0" t="0" r="1905" b="0"/>
            <wp:docPr id="34" name="图片 24" descr="6、150万吨采矿扩建项目东五份子竣工验收意见批复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4" descr="6、150万吨采矿扩建项目东五份子竣工验收意见批复_01"/>
                    <pic:cNvPicPr>
                      <a:picLocks noChangeAspect="1"/>
                    </pic:cNvPicPr>
                  </pic:nvPicPr>
                  <pic:blipFill>
                    <a:blip r:embed="rId45"/>
                    <a:stretch>
                      <a:fillRect/>
                    </a:stretch>
                  </pic:blipFill>
                  <pic:spPr>
                    <a:xfrm>
                      <a:off x="0" y="0"/>
                      <a:ext cx="5255895" cy="7734300"/>
                    </a:xfrm>
                    <a:prstGeom prst="rect">
                      <a:avLst/>
                    </a:prstGeom>
                    <a:noFill/>
                    <a:ln>
                      <a:noFill/>
                    </a:ln>
                  </pic:spPr>
                </pic:pic>
              </a:graphicData>
            </a:graphic>
          </wp:inline>
        </w:drawing>
      </w:r>
      <w:r>
        <w:rPr>
          <w:rFonts w:hint="default"/>
          <w:lang w:val="en-US" w:eastAsia="zh-CN"/>
        </w:rPr>
        <w:drawing>
          <wp:inline distT="0" distB="0" distL="114300" distR="114300">
            <wp:extent cx="5255895" cy="8052435"/>
            <wp:effectExtent l="0" t="0" r="1905" b="5715"/>
            <wp:docPr id="35" name="图片 25" descr="6、150万吨采矿扩建项目东五份子竣工验收意见批复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5" descr="6、150万吨采矿扩建项目东五份子竣工验收意见批复_02"/>
                    <pic:cNvPicPr>
                      <a:picLocks noChangeAspect="1"/>
                    </pic:cNvPicPr>
                  </pic:nvPicPr>
                  <pic:blipFill>
                    <a:blip r:embed="rId46"/>
                    <a:stretch>
                      <a:fillRect/>
                    </a:stretch>
                  </pic:blipFill>
                  <pic:spPr>
                    <a:xfrm>
                      <a:off x="0" y="0"/>
                      <a:ext cx="5255895" cy="8052435"/>
                    </a:xfrm>
                    <a:prstGeom prst="rect">
                      <a:avLst/>
                    </a:prstGeom>
                    <a:noFill/>
                    <a:ln>
                      <a:noFill/>
                    </a:ln>
                  </pic:spPr>
                </pic:pic>
              </a:graphicData>
            </a:graphic>
          </wp:inline>
        </w:drawing>
      </w:r>
      <w:r>
        <w:rPr>
          <w:rFonts w:hint="default"/>
          <w:lang w:val="en-US" w:eastAsia="zh-CN"/>
        </w:rPr>
        <w:drawing>
          <wp:inline distT="0" distB="0" distL="114300" distR="114300">
            <wp:extent cx="5255895" cy="7308215"/>
            <wp:effectExtent l="0" t="0" r="1905" b="6985"/>
            <wp:docPr id="31" name="图片 26" descr="6、150万吨采矿扩建项目东五份子竣工验收意见批复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6" descr="6、150万吨采矿扩建项目东五份子竣工验收意见批复_03"/>
                    <pic:cNvPicPr>
                      <a:picLocks noChangeAspect="1"/>
                    </pic:cNvPicPr>
                  </pic:nvPicPr>
                  <pic:blipFill>
                    <a:blip r:embed="rId47"/>
                    <a:stretch>
                      <a:fillRect/>
                    </a:stretch>
                  </pic:blipFill>
                  <pic:spPr>
                    <a:xfrm>
                      <a:off x="0" y="0"/>
                      <a:ext cx="5255895" cy="7308215"/>
                    </a:xfrm>
                    <a:prstGeom prst="rect">
                      <a:avLst/>
                    </a:prstGeom>
                    <a:noFill/>
                    <a:ln>
                      <a:noFill/>
                    </a:ln>
                  </pic:spPr>
                </pic:pic>
              </a:graphicData>
            </a:graphic>
          </wp:inline>
        </w:drawing>
      </w:r>
    </w:p>
    <w:p>
      <w:pPr>
        <w:pStyle w:val="6"/>
        <w:bidi w:val="0"/>
        <w:rPr>
          <w:rFonts w:hint="default"/>
          <w:sz w:val="28"/>
          <w:szCs w:val="24"/>
          <w:lang w:val="en-US" w:eastAsia="zh-CN"/>
        </w:rPr>
      </w:pPr>
      <w:r>
        <w:rPr>
          <w:rFonts w:hint="eastAsia"/>
          <w:sz w:val="28"/>
          <w:szCs w:val="24"/>
          <w:lang w:val="en-US" w:eastAsia="zh-CN"/>
        </w:rPr>
        <w:t>附件6</w:t>
      </w:r>
    </w:p>
    <w:p>
      <w:pPr>
        <w:pStyle w:val="6"/>
        <w:bidi w:val="0"/>
        <w:rPr>
          <w:rFonts w:hint="eastAsia"/>
          <w:lang w:val="en-US" w:eastAsia="zh-CN"/>
        </w:rPr>
      </w:pPr>
      <w:r>
        <w:rPr>
          <w:rFonts w:hint="eastAsia"/>
          <w:lang w:val="en-US" w:eastAsia="zh-CN"/>
        </w:rPr>
        <w:drawing>
          <wp:inline distT="0" distB="0" distL="114300" distR="114300">
            <wp:extent cx="5255895" cy="3711575"/>
            <wp:effectExtent l="0" t="0" r="1905" b="3175"/>
            <wp:docPr id="42" name="图片 27" descr="171323809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7" descr="1713238091961"/>
                    <pic:cNvPicPr>
                      <a:picLocks noChangeAspect="1"/>
                    </pic:cNvPicPr>
                  </pic:nvPicPr>
                  <pic:blipFill>
                    <a:blip r:embed="rId48"/>
                    <a:stretch>
                      <a:fillRect/>
                    </a:stretch>
                  </pic:blipFill>
                  <pic:spPr>
                    <a:xfrm>
                      <a:off x="0" y="0"/>
                      <a:ext cx="5255895" cy="3711575"/>
                    </a:xfrm>
                    <a:prstGeom prst="rect">
                      <a:avLst/>
                    </a:prstGeom>
                    <a:noFill/>
                    <a:ln>
                      <a:noFill/>
                    </a:ln>
                  </pic:spPr>
                </pic:pic>
              </a:graphicData>
            </a:graphic>
          </wp:inline>
        </w:drawing>
      </w:r>
    </w:p>
    <w:p>
      <w:pPr>
        <w:pStyle w:val="6"/>
        <w:bidi w:val="0"/>
        <w:rPr>
          <w:rFonts w:hint="default"/>
          <w:sz w:val="28"/>
          <w:szCs w:val="24"/>
          <w:lang w:val="en-US" w:eastAsia="zh-CN"/>
        </w:rPr>
      </w:pPr>
      <w:r>
        <w:rPr>
          <w:rFonts w:hint="eastAsia"/>
          <w:sz w:val="28"/>
          <w:szCs w:val="24"/>
          <w:lang w:val="en-US" w:eastAsia="zh-CN"/>
        </w:rPr>
        <w:t>附件7</w:t>
      </w:r>
    </w:p>
    <w:p>
      <w:pPr>
        <w:pStyle w:val="6"/>
        <w:bidi w:val="0"/>
        <w:rPr>
          <w:rFonts w:hint="eastAsia"/>
          <w:lang w:val="en-US" w:eastAsia="zh-CN"/>
        </w:rPr>
      </w:pPr>
      <w:r>
        <w:drawing>
          <wp:inline distT="0" distB="0" distL="114300" distR="114300">
            <wp:extent cx="5255895" cy="7625715"/>
            <wp:effectExtent l="0" t="0" r="1905" b="13335"/>
            <wp:docPr id="3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8"/>
                    <pic:cNvPicPr>
                      <a:picLocks noChangeAspect="1"/>
                    </pic:cNvPicPr>
                  </pic:nvPicPr>
                  <pic:blipFill>
                    <a:blip r:embed="rId49"/>
                    <a:stretch>
                      <a:fillRect/>
                    </a:stretch>
                  </pic:blipFill>
                  <pic:spPr>
                    <a:xfrm>
                      <a:off x="0" y="0"/>
                      <a:ext cx="5255895" cy="7625715"/>
                    </a:xfrm>
                    <a:prstGeom prst="rect">
                      <a:avLst/>
                    </a:prstGeom>
                    <a:noFill/>
                    <a:ln>
                      <a:noFill/>
                    </a:ln>
                  </pic:spPr>
                </pic:pic>
              </a:graphicData>
            </a:graphic>
          </wp:inline>
        </w:drawing>
      </w:r>
    </w:p>
    <w:p>
      <w:pPr>
        <w:pStyle w:val="6"/>
        <w:bidi w:val="0"/>
        <w:rPr>
          <w:rFonts w:hint="eastAsia"/>
          <w:lang w:val="en-US" w:eastAsia="zh-CN"/>
        </w:rPr>
      </w:pP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b/>
          <w:bCs/>
          <w:sz w:val="28"/>
          <w:szCs w:val="24"/>
          <w:lang w:val="en-US" w:eastAsia="zh-CN"/>
        </w:rPr>
      </w:pPr>
      <w:r>
        <w:rPr>
          <w:rFonts w:hint="default"/>
          <w:b/>
          <w:bCs/>
          <w:sz w:val="28"/>
          <w:szCs w:val="24"/>
          <w:lang w:val="en-US" w:eastAsia="zh-CN"/>
        </w:rPr>
        <w:t>附件</w:t>
      </w:r>
      <w:r>
        <w:rPr>
          <w:rFonts w:hint="eastAsia"/>
          <w:b/>
          <w:bCs/>
          <w:sz w:val="28"/>
          <w:szCs w:val="24"/>
          <w:lang w:val="en-US" w:eastAsia="zh-CN"/>
        </w:rPr>
        <w:t>8</w:t>
      </w: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b/>
          <w:bCs/>
          <w:sz w:val="28"/>
          <w:szCs w:val="24"/>
          <w:lang w:val="en-US" w:eastAsia="zh-CN"/>
        </w:rPr>
      </w:pPr>
      <w:r>
        <w:drawing>
          <wp:inline distT="0" distB="0" distL="114300" distR="114300">
            <wp:extent cx="5264150" cy="7490460"/>
            <wp:effectExtent l="0" t="0" r="12700" b="15240"/>
            <wp:docPr id="2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9"/>
                    <pic:cNvPicPr>
                      <a:picLocks noChangeAspect="1"/>
                    </pic:cNvPicPr>
                  </pic:nvPicPr>
                  <pic:blipFill>
                    <a:blip r:embed="rId50"/>
                    <a:stretch>
                      <a:fillRect/>
                    </a:stretch>
                  </pic:blipFill>
                  <pic:spPr>
                    <a:xfrm>
                      <a:off x="0" y="0"/>
                      <a:ext cx="5264150" cy="749046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b/>
          <w:bCs/>
          <w:sz w:val="28"/>
          <w:szCs w:val="24"/>
          <w:lang w:val="en-US" w:eastAsia="zh-CN"/>
        </w:rPr>
      </w:pP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b/>
          <w:bCs/>
          <w:sz w:val="28"/>
          <w:szCs w:val="24"/>
          <w:lang w:val="en-US" w:eastAsia="zh-CN"/>
        </w:rPr>
      </w:pPr>
      <w:r>
        <w:drawing>
          <wp:inline distT="0" distB="0" distL="114300" distR="114300">
            <wp:extent cx="5272405" cy="7516495"/>
            <wp:effectExtent l="0" t="0" r="4445" b="825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51"/>
                    <a:stretch>
                      <a:fillRect/>
                    </a:stretch>
                  </pic:blipFill>
                  <pic:spPr>
                    <a:xfrm>
                      <a:off x="0" y="0"/>
                      <a:ext cx="5272405" cy="75164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b/>
          <w:bCs/>
          <w:sz w:val="28"/>
          <w:szCs w:val="24"/>
          <w:lang w:val="en-US" w:eastAsia="zh-CN"/>
        </w:rPr>
      </w:pPr>
    </w:p>
    <w:p>
      <w:pPr>
        <w:pStyle w:val="6"/>
        <w:bidi w:val="0"/>
        <w:rPr>
          <w:rFonts w:hint="default"/>
          <w:lang w:val="en-US" w:eastAsia="zh-CN"/>
        </w:rPr>
      </w:pPr>
      <w:r>
        <w:rPr>
          <w:rFonts w:hint="eastAsia"/>
          <w:sz w:val="28"/>
          <w:szCs w:val="24"/>
          <w:lang w:val="en-US" w:eastAsia="zh-CN"/>
        </w:rPr>
        <w:t>附件9</w:t>
      </w:r>
      <w:r>
        <w:rPr>
          <w:rFonts w:hint="eastAsia"/>
          <w:lang w:val="en-US" w:eastAsia="zh-CN"/>
        </w:rPr>
        <w:br w:type="textWrapping"/>
      </w:r>
      <w:r>
        <w:rPr>
          <w:rFonts w:hint="default"/>
          <w:lang w:val="en-US" w:eastAsia="zh-CN"/>
        </w:rPr>
        <w:drawing>
          <wp:inline distT="0" distB="0" distL="114300" distR="114300">
            <wp:extent cx="5255895" cy="7439025"/>
            <wp:effectExtent l="0" t="0" r="1905" b="9525"/>
            <wp:docPr id="29" name="图片 31" descr="东五份子铁矿一季度检测报告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1" descr="东五份子铁矿一季度检测报告_00"/>
                    <pic:cNvPicPr>
                      <a:picLocks noChangeAspect="1"/>
                    </pic:cNvPicPr>
                  </pic:nvPicPr>
                  <pic:blipFill>
                    <a:blip r:embed="rId52"/>
                    <a:stretch>
                      <a:fillRect/>
                    </a:stretch>
                  </pic:blipFill>
                  <pic:spPr>
                    <a:xfrm>
                      <a:off x="0" y="0"/>
                      <a:ext cx="5255895" cy="7439025"/>
                    </a:xfrm>
                    <a:prstGeom prst="rect">
                      <a:avLst/>
                    </a:prstGeom>
                    <a:noFill/>
                    <a:ln>
                      <a:noFill/>
                    </a:ln>
                  </pic:spPr>
                </pic:pic>
              </a:graphicData>
            </a:graphic>
          </wp:inline>
        </w:drawing>
      </w:r>
      <w:r>
        <w:rPr>
          <w:rFonts w:hint="default"/>
          <w:lang w:val="en-US" w:eastAsia="zh-CN"/>
        </w:rPr>
        <w:drawing>
          <wp:inline distT="0" distB="0" distL="114300" distR="114300">
            <wp:extent cx="5255895" cy="7439025"/>
            <wp:effectExtent l="0" t="0" r="1905" b="9525"/>
            <wp:docPr id="32" name="图片 32" descr="东五份子铁矿一季度检测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东五份子铁矿一季度检测报告_01"/>
                    <pic:cNvPicPr>
                      <a:picLocks noChangeAspect="1"/>
                    </pic:cNvPicPr>
                  </pic:nvPicPr>
                  <pic:blipFill>
                    <a:blip r:embed="rId53"/>
                    <a:stretch>
                      <a:fillRect/>
                    </a:stretch>
                  </pic:blipFill>
                  <pic:spPr>
                    <a:xfrm>
                      <a:off x="0" y="0"/>
                      <a:ext cx="5255895" cy="7439025"/>
                    </a:xfrm>
                    <a:prstGeom prst="rect">
                      <a:avLst/>
                    </a:prstGeom>
                    <a:noFill/>
                    <a:ln>
                      <a:noFill/>
                    </a:ln>
                  </pic:spPr>
                </pic:pic>
              </a:graphicData>
            </a:graphic>
          </wp:inline>
        </w:drawing>
      </w:r>
      <w:r>
        <w:rPr>
          <w:rFonts w:hint="default"/>
          <w:lang w:val="en-US" w:eastAsia="zh-CN"/>
        </w:rPr>
        <w:drawing>
          <wp:inline distT="0" distB="0" distL="114300" distR="114300">
            <wp:extent cx="5255895" cy="3713480"/>
            <wp:effectExtent l="0" t="0" r="1905" b="1270"/>
            <wp:docPr id="37" name="图片 33" descr="东五份子铁矿一季度检测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3" descr="东五份子铁矿一季度检测报告_02"/>
                    <pic:cNvPicPr>
                      <a:picLocks noChangeAspect="1"/>
                    </pic:cNvPicPr>
                  </pic:nvPicPr>
                  <pic:blipFill>
                    <a:blip r:embed="rId54"/>
                    <a:stretch>
                      <a:fillRect/>
                    </a:stretch>
                  </pic:blipFill>
                  <pic:spPr>
                    <a:xfrm>
                      <a:off x="0" y="0"/>
                      <a:ext cx="5255895" cy="3713480"/>
                    </a:xfrm>
                    <a:prstGeom prst="rect">
                      <a:avLst/>
                    </a:prstGeom>
                    <a:noFill/>
                    <a:ln>
                      <a:noFill/>
                    </a:ln>
                  </pic:spPr>
                </pic:pic>
              </a:graphicData>
            </a:graphic>
          </wp:inline>
        </w:drawing>
      </w:r>
      <w:r>
        <w:rPr>
          <w:rFonts w:hint="default"/>
          <w:lang w:val="en-US" w:eastAsia="zh-CN"/>
        </w:rPr>
        <w:drawing>
          <wp:inline distT="0" distB="0" distL="114300" distR="114300">
            <wp:extent cx="5255895" cy="3713480"/>
            <wp:effectExtent l="0" t="0" r="1905" b="1270"/>
            <wp:docPr id="26" name="图片 34" descr="东五份子铁矿一季度检测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4" descr="东五份子铁矿一季度检测报告_03"/>
                    <pic:cNvPicPr>
                      <a:picLocks noChangeAspect="1"/>
                    </pic:cNvPicPr>
                  </pic:nvPicPr>
                  <pic:blipFill>
                    <a:blip r:embed="rId55"/>
                    <a:stretch>
                      <a:fillRect/>
                    </a:stretch>
                  </pic:blipFill>
                  <pic:spPr>
                    <a:xfrm>
                      <a:off x="0" y="0"/>
                      <a:ext cx="5255895" cy="3713480"/>
                    </a:xfrm>
                    <a:prstGeom prst="rect">
                      <a:avLst/>
                    </a:prstGeom>
                    <a:noFill/>
                    <a:ln>
                      <a:noFill/>
                    </a:ln>
                  </pic:spPr>
                </pic:pic>
              </a:graphicData>
            </a:graphic>
          </wp:inline>
        </w:drawing>
      </w:r>
      <w:r>
        <w:rPr>
          <w:rFonts w:hint="default"/>
          <w:lang w:val="en-US" w:eastAsia="zh-CN"/>
        </w:rPr>
        <w:drawing>
          <wp:inline distT="0" distB="0" distL="114300" distR="114300">
            <wp:extent cx="5255895" cy="3713480"/>
            <wp:effectExtent l="0" t="0" r="1905" b="1270"/>
            <wp:docPr id="27" name="图片 35" descr="东五份子铁矿一季度检测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5" descr="东五份子铁矿一季度检测报告_04"/>
                    <pic:cNvPicPr>
                      <a:picLocks noChangeAspect="1"/>
                    </pic:cNvPicPr>
                  </pic:nvPicPr>
                  <pic:blipFill>
                    <a:blip r:embed="rId56"/>
                    <a:stretch>
                      <a:fillRect/>
                    </a:stretch>
                  </pic:blipFill>
                  <pic:spPr>
                    <a:xfrm>
                      <a:off x="0" y="0"/>
                      <a:ext cx="5255895" cy="3713480"/>
                    </a:xfrm>
                    <a:prstGeom prst="rect">
                      <a:avLst/>
                    </a:prstGeom>
                    <a:noFill/>
                    <a:ln>
                      <a:noFill/>
                    </a:ln>
                  </pic:spPr>
                </pic:pic>
              </a:graphicData>
            </a:graphic>
          </wp:inline>
        </w:drawing>
      </w:r>
      <w:r>
        <w:rPr>
          <w:rFonts w:hint="default"/>
          <w:lang w:val="en-US" w:eastAsia="zh-CN"/>
        </w:rPr>
        <w:drawing>
          <wp:inline distT="0" distB="0" distL="114300" distR="114300">
            <wp:extent cx="5255895" cy="3713480"/>
            <wp:effectExtent l="0" t="0" r="1905" b="1270"/>
            <wp:docPr id="36" name="图片 36" descr="东五份子铁矿一季度检测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东五份子铁矿一季度检测报告_05"/>
                    <pic:cNvPicPr>
                      <a:picLocks noChangeAspect="1"/>
                    </pic:cNvPicPr>
                  </pic:nvPicPr>
                  <pic:blipFill>
                    <a:blip r:embed="rId57"/>
                    <a:stretch>
                      <a:fillRect/>
                    </a:stretch>
                  </pic:blipFill>
                  <pic:spPr>
                    <a:xfrm>
                      <a:off x="0" y="0"/>
                      <a:ext cx="5255895" cy="3713480"/>
                    </a:xfrm>
                    <a:prstGeom prst="rect">
                      <a:avLst/>
                    </a:prstGeom>
                    <a:noFill/>
                    <a:ln>
                      <a:noFill/>
                    </a:ln>
                  </pic:spPr>
                </pic:pic>
              </a:graphicData>
            </a:graphic>
          </wp:inline>
        </w:drawing>
      </w:r>
      <w:r>
        <w:rPr>
          <w:rFonts w:hint="default"/>
          <w:lang w:val="en-US" w:eastAsia="zh-CN"/>
        </w:rPr>
        <w:drawing>
          <wp:inline distT="0" distB="0" distL="114300" distR="114300">
            <wp:extent cx="7438390" cy="5255895"/>
            <wp:effectExtent l="0" t="0" r="1905" b="10160"/>
            <wp:docPr id="40" name="图片 37" descr="东五份子铁矿一季度检测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7" descr="东五份子铁矿一季度检测报告_06"/>
                    <pic:cNvPicPr>
                      <a:picLocks noChangeAspect="1"/>
                    </pic:cNvPicPr>
                  </pic:nvPicPr>
                  <pic:blipFill>
                    <a:blip r:embed="rId58"/>
                    <a:stretch>
                      <a:fillRect/>
                    </a:stretch>
                  </pic:blipFill>
                  <pic:spPr>
                    <a:xfrm rot="-5400000">
                      <a:off x="0" y="0"/>
                      <a:ext cx="7438390" cy="5255895"/>
                    </a:xfrm>
                    <a:prstGeom prst="rect">
                      <a:avLst/>
                    </a:prstGeom>
                    <a:noFill/>
                    <a:ln>
                      <a:noFill/>
                    </a:ln>
                  </pic:spPr>
                </pic:pic>
              </a:graphicData>
            </a:graphic>
          </wp:inline>
        </w:drawing>
      </w:r>
      <w:r>
        <w:rPr>
          <w:rFonts w:hint="default"/>
          <w:lang w:val="en-US" w:eastAsia="zh-CN"/>
        </w:rPr>
        <w:drawing>
          <wp:inline distT="0" distB="0" distL="114300" distR="114300">
            <wp:extent cx="5255895" cy="7439025"/>
            <wp:effectExtent l="0" t="0" r="1905" b="9525"/>
            <wp:docPr id="28" name="图片 38" descr="东五份子铁矿一季度检测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8" descr="东五份子铁矿一季度检测报告_07"/>
                    <pic:cNvPicPr>
                      <a:picLocks noChangeAspect="1"/>
                    </pic:cNvPicPr>
                  </pic:nvPicPr>
                  <pic:blipFill>
                    <a:blip r:embed="rId59"/>
                    <a:stretch>
                      <a:fillRect/>
                    </a:stretch>
                  </pic:blipFill>
                  <pic:spPr>
                    <a:xfrm>
                      <a:off x="0" y="0"/>
                      <a:ext cx="5255895" cy="7439025"/>
                    </a:xfrm>
                    <a:prstGeom prst="rect">
                      <a:avLst/>
                    </a:prstGeom>
                    <a:noFill/>
                    <a:ln>
                      <a:noFill/>
                    </a:ln>
                  </pic:spPr>
                </pic:pic>
              </a:graphicData>
            </a:graphic>
          </wp:inline>
        </w:drawing>
      </w:r>
      <w:r>
        <w:rPr>
          <w:rFonts w:hint="default"/>
          <w:lang w:val="en-US" w:eastAsia="zh-CN"/>
        </w:rPr>
        <w:drawing>
          <wp:inline distT="0" distB="0" distL="114300" distR="114300">
            <wp:extent cx="5255895" cy="7439025"/>
            <wp:effectExtent l="0" t="0" r="1905" b="9525"/>
            <wp:docPr id="39" name="图片 39" descr="东五份子铁矿一季度检测报告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东五份子铁矿一季度检测报告_08"/>
                    <pic:cNvPicPr>
                      <a:picLocks noChangeAspect="1"/>
                    </pic:cNvPicPr>
                  </pic:nvPicPr>
                  <pic:blipFill>
                    <a:blip r:embed="rId60"/>
                    <a:stretch>
                      <a:fillRect/>
                    </a:stretch>
                  </pic:blipFill>
                  <pic:spPr>
                    <a:xfrm>
                      <a:off x="0" y="0"/>
                      <a:ext cx="5255895" cy="7439025"/>
                    </a:xfrm>
                    <a:prstGeom prst="rect">
                      <a:avLst/>
                    </a:prstGeom>
                    <a:noFill/>
                    <a:ln>
                      <a:noFill/>
                    </a:ln>
                  </pic:spPr>
                </pic:pic>
              </a:graphicData>
            </a:graphic>
          </wp:inline>
        </w:drawing>
      </w:r>
      <w:r>
        <w:rPr>
          <w:rFonts w:hint="default"/>
          <w:lang w:val="en-US" w:eastAsia="zh-CN"/>
        </w:rPr>
        <w:drawing>
          <wp:inline distT="0" distB="0" distL="114300" distR="114300">
            <wp:extent cx="5255895" cy="7439025"/>
            <wp:effectExtent l="0" t="0" r="1905" b="9525"/>
            <wp:docPr id="44" name="图片 40" descr="东五份子铁矿一季度检测报告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0" descr="东五份子铁矿一季度检测报告_09"/>
                    <pic:cNvPicPr>
                      <a:picLocks noChangeAspect="1"/>
                    </pic:cNvPicPr>
                  </pic:nvPicPr>
                  <pic:blipFill>
                    <a:blip r:embed="rId61"/>
                    <a:stretch>
                      <a:fillRect/>
                    </a:stretch>
                  </pic:blipFill>
                  <pic:spPr>
                    <a:xfrm>
                      <a:off x="0" y="0"/>
                      <a:ext cx="5255895" cy="7439025"/>
                    </a:xfrm>
                    <a:prstGeom prst="rect">
                      <a:avLst/>
                    </a:prstGeom>
                    <a:noFill/>
                    <a:ln>
                      <a:noFill/>
                    </a:ln>
                  </pic:spPr>
                </pic:pic>
              </a:graphicData>
            </a:graphic>
          </wp:inline>
        </w:drawing>
      </w:r>
      <w:r>
        <w:rPr>
          <w:rFonts w:hint="default"/>
          <w:lang w:val="en-US" w:eastAsia="zh-CN"/>
        </w:rPr>
        <w:drawing>
          <wp:inline distT="0" distB="0" distL="114300" distR="114300">
            <wp:extent cx="5255895" cy="7439025"/>
            <wp:effectExtent l="0" t="0" r="1905" b="9525"/>
            <wp:docPr id="43" name="图片 41" descr="东五份子铁矿一季度检测报告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1" descr="东五份子铁矿一季度检测报告_10"/>
                    <pic:cNvPicPr>
                      <a:picLocks noChangeAspect="1"/>
                    </pic:cNvPicPr>
                  </pic:nvPicPr>
                  <pic:blipFill>
                    <a:blip r:embed="rId62"/>
                    <a:stretch>
                      <a:fillRect/>
                    </a:stretch>
                  </pic:blipFill>
                  <pic:spPr>
                    <a:xfrm>
                      <a:off x="0" y="0"/>
                      <a:ext cx="5255895" cy="7439025"/>
                    </a:xfrm>
                    <a:prstGeom prst="rect">
                      <a:avLst/>
                    </a:prstGeom>
                    <a:noFill/>
                    <a:ln>
                      <a:noFill/>
                    </a:ln>
                  </pic:spPr>
                </pic:pic>
              </a:graphicData>
            </a:graphic>
          </wp:inline>
        </w:drawing>
      </w:r>
      <w:r>
        <w:rPr>
          <w:rFonts w:hint="default"/>
          <w:lang w:val="en-US" w:eastAsia="zh-CN"/>
        </w:rPr>
        <w:drawing>
          <wp:inline distT="0" distB="0" distL="114300" distR="114300">
            <wp:extent cx="5255895" cy="7439025"/>
            <wp:effectExtent l="0" t="0" r="1905" b="9525"/>
            <wp:docPr id="41" name="图片 42" descr="东五份子铁矿一季度检测报告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2" descr="东五份子铁矿一季度检测报告_11"/>
                    <pic:cNvPicPr>
                      <a:picLocks noChangeAspect="1"/>
                    </pic:cNvPicPr>
                  </pic:nvPicPr>
                  <pic:blipFill>
                    <a:blip r:embed="rId63"/>
                    <a:stretch>
                      <a:fillRect/>
                    </a:stretch>
                  </pic:blipFill>
                  <pic:spPr>
                    <a:xfrm>
                      <a:off x="0" y="0"/>
                      <a:ext cx="5255895" cy="7439025"/>
                    </a:xfrm>
                    <a:prstGeom prst="rect">
                      <a:avLst/>
                    </a:prstGeom>
                    <a:noFill/>
                    <a:ln>
                      <a:noFill/>
                    </a:ln>
                  </pic:spPr>
                </pic:pic>
              </a:graphicData>
            </a:graphic>
          </wp:inline>
        </w:drawing>
      </w:r>
      <w:r>
        <w:rPr>
          <w:rFonts w:hint="default"/>
          <w:lang w:val="en-US" w:eastAsia="zh-CN"/>
        </w:rPr>
        <w:drawing>
          <wp:inline distT="0" distB="0" distL="114300" distR="114300">
            <wp:extent cx="5255895" cy="7439025"/>
            <wp:effectExtent l="0" t="0" r="1905" b="9525"/>
            <wp:docPr id="22" name="图片 43" descr="东五份子铁矿一季度检测报告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3" descr="东五份子铁矿一季度检测报告_12"/>
                    <pic:cNvPicPr>
                      <a:picLocks noChangeAspect="1"/>
                    </pic:cNvPicPr>
                  </pic:nvPicPr>
                  <pic:blipFill>
                    <a:blip r:embed="rId64"/>
                    <a:stretch>
                      <a:fillRect/>
                    </a:stretch>
                  </pic:blipFill>
                  <pic:spPr>
                    <a:xfrm>
                      <a:off x="0" y="0"/>
                      <a:ext cx="5255895" cy="7439025"/>
                    </a:xfrm>
                    <a:prstGeom prst="rect">
                      <a:avLst/>
                    </a:prstGeom>
                    <a:noFill/>
                    <a:ln>
                      <a:noFill/>
                    </a:ln>
                  </pic:spPr>
                </pic:pic>
              </a:graphicData>
            </a:graphic>
          </wp:inline>
        </w:drawing>
      </w:r>
      <w:r>
        <w:rPr>
          <w:rFonts w:hint="default"/>
          <w:lang w:val="en-US" w:eastAsia="zh-CN"/>
        </w:rPr>
        <w:drawing>
          <wp:inline distT="0" distB="0" distL="114300" distR="114300">
            <wp:extent cx="5255895" cy="7439025"/>
            <wp:effectExtent l="0" t="0" r="1905" b="9525"/>
            <wp:docPr id="23" name="图片 44" descr="东五份子铁矿一季度检测报告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4" descr="东五份子铁矿一季度检测报告_13"/>
                    <pic:cNvPicPr>
                      <a:picLocks noChangeAspect="1"/>
                    </pic:cNvPicPr>
                  </pic:nvPicPr>
                  <pic:blipFill>
                    <a:blip r:embed="rId65"/>
                    <a:stretch>
                      <a:fillRect/>
                    </a:stretch>
                  </pic:blipFill>
                  <pic:spPr>
                    <a:xfrm>
                      <a:off x="0" y="0"/>
                      <a:ext cx="5255895" cy="7439025"/>
                    </a:xfrm>
                    <a:prstGeom prst="rect">
                      <a:avLst/>
                    </a:prstGeom>
                    <a:noFill/>
                    <a:ln>
                      <a:noFill/>
                    </a:ln>
                  </pic:spPr>
                </pic:pic>
              </a:graphicData>
            </a:graphic>
          </wp:inline>
        </w:drawing>
      </w:r>
      <w:r>
        <w:rPr>
          <w:rFonts w:hint="default"/>
          <w:lang w:val="en-US" w:eastAsia="zh-CN"/>
        </w:rPr>
        <w:drawing>
          <wp:inline distT="0" distB="0" distL="114300" distR="114300">
            <wp:extent cx="5255895" cy="7439025"/>
            <wp:effectExtent l="0" t="0" r="1905" b="9525"/>
            <wp:docPr id="38" name="图片 45" descr="东五份子铁矿一季度检测报告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5" descr="东五份子铁矿一季度检测报告_14"/>
                    <pic:cNvPicPr>
                      <a:picLocks noChangeAspect="1"/>
                    </pic:cNvPicPr>
                  </pic:nvPicPr>
                  <pic:blipFill>
                    <a:blip r:embed="rId66"/>
                    <a:stretch>
                      <a:fillRect/>
                    </a:stretch>
                  </pic:blipFill>
                  <pic:spPr>
                    <a:xfrm>
                      <a:off x="0" y="0"/>
                      <a:ext cx="5255895" cy="7439025"/>
                    </a:xfrm>
                    <a:prstGeom prst="rect">
                      <a:avLst/>
                    </a:prstGeom>
                    <a:noFill/>
                    <a:ln>
                      <a:noFill/>
                    </a:ln>
                  </pic:spPr>
                </pic:pic>
              </a:graphicData>
            </a:graphic>
          </wp:inline>
        </w:drawing>
      </w:r>
    </w:p>
    <w:p>
      <w:pPr>
        <w:pStyle w:val="26"/>
        <w:ind w:left="0" w:leftChars="0" w:firstLine="0" w:firstLineChars="0"/>
        <w:rPr>
          <w:rFonts w:hint="eastAsia"/>
          <w:lang w:val="en-US" w:eastAsia="zh-CN"/>
        </w:rPr>
      </w:pPr>
    </w:p>
    <w:p>
      <w:pPr>
        <w:kinsoku/>
        <w:wordWrap/>
        <w:bidi w:val="0"/>
        <w:spacing w:line="360" w:lineRule="auto"/>
        <w:ind w:left="0" w:leftChars="0" w:right="0" w:rightChars="0" w:firstLine="0" w:firstLineChars="0"/>
        <w:rPr>
          <w:rFonts w:hint="eastAsia" w:cs="Times New Roman"/>
          <w:color w:val="auto"/>
          <w:highlight w:val="none"/>
          <w:lang w:val="en-US" w:eastAsia="zh-CN"/>
        </w:rPr>
      </w:pPr>
    </w:p>
    <w:p>
      <w:pPr>
        <w:kinsoku/>
        <w:wordWrap/>
        <w:bidi w:val="0"/>
        <w:spacing w:line="360" w:lineRule="auto"/>
        <w:ind w:left="0" w:leftChars="0" w:right="0" w:rightChars="0" w:firstLine="0" w:firstLineChars="0"/>
        <w:rPr>
          <w:rFonts w:hint="default" w:cs="Times New Roman"/>
          <w:color w:val="auto"/>
          <w:highlight w:val="none"/>
          <w:lang w:val="en-US" w:eastAsia="zh-CN"/>
        </w:rPr>
      </w:pPr>
    </w:p>
    <w:sectPr>
      <w:pgSz w:w="11906" w:h="16838"/>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Wingdings 2">
    <w:altName w:val="Wingdings"/>
    <w:panose1 w:val="05020102010507070707"/>
    <w:charset w:val="02"/>
    <w:family w:val="roman"/>
    <w:pitch w:val="default"/>
    <w:sig w:usb0="00000000" w:usb1="00000000" w:usb2="00000000" w:usb3="00000000" w:csb0="80000000" w:csb1="00000000"/>
  </w:font>
  <w:font w:name="Wingdings">
    <w:panose1 w:val="05000000000000000000"/>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framePr w:wrap="around" w:vAnchor="text" w:hAnchor="margin" w:xAlign="center" w:y="1"/>
      <w:rPr>
        <w:rStyle w:val="23"/>
      </w:rPr>
    </w:pPr>
    <w:r>
      <w:fldChar w:fldCharType="begin"/>
    </w:r>
    <w:r>
      <w:rPr>
        <w:rStyle w:val="23"/>
      </w:rPr>
      <w:instrText xml:space="preserve">PAGE  </w:instrText>
    </w:r>
    <w:r>
      <w:fldChar w:fldCharType="end"/>
    </w:r>
  </w:p>
  <w:p>
    <w:pPr>
      <w:pStyle w:val="14"/>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4"/>
                          </w:pPr>
                          <w:r>
                            <w:fldChar w:fldCharType="begin"/>
                          </w:r>
                          <w:r>
                            <w:instrText xml:space="preserve"> PAGE  \* MERGEFORMAT </w:instrText>
                          </w:r>
                          <w:r>
                            <w:fldChar w:fldCharType="separate"/>
                          </w:r>
                          <w:r>
                            <w:t>- 1 -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pPr>
                      <w:pStyle w:val="14"/>
                    </w:pPr>
                    <w:r>
                      <w:fldChar w:fldCharType="begin"/>
                    </w:r>
                    <w:r>
                      <w:instrText xml:space="preserve"> PAGE  \* MERGEFORMAT </w:instrText>
                    </w:r>
                    <w:r>
                      <w:fldChar w:fldCharType="separate"/>
                    </w:r>
                    <w:r>
                      <w:t>- 1 -</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4"/>
                          </w:pPr>
                          <w:r>
                            <w:fldChar w:fldCharType="begin"/>
                          </w:r>
                          <w:r>
                            <w:instrText xml:space="preserve"> PAGE  \* MERGEFORMAT </w:instrText>
                          </w:r>
                          <w:r>
                            <w:fldChar w:fldCharType="separate"/>
                          </w:r>
                          <w:r>
                            <w:t>- 35 -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pPr>
                      <w:pStyle w:val="14"/>
                    </w:pPr>
                    <w:r>
                      <w:fldChar w:fldCharType="begin"/>
                    </w:r>
                    <w:r>
                      <w:instrText xml:space="preserve"> PAGE  \* MERGEFORMAT </w:instrText>
                    </w:r>
                    <w:r>
                      <w:fldChar w:fldCharType="separate"/>
                    </w:r>
                    <w:r>
                      <w:t>- 35 -</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DE1D182B"/>
    <w:multiLevelType w:val="singleLevel"/>
    <w:tmpl w:val="DE1D182B"/>
    <w:lvl w:ilvl="0" w:tentative="0">
      <w:start w:val="1"/>
      <w:numFmt w:val="bullet"/>
      <w:pStyle w:val="13"/>
      <w:lvlText w:val=""/>
      <w:lvlJc w:val="left"/>
      <w:pPr>
        <w:tabs>
          <w:tab w:val="left" w:pos="2040"/>
        </w:tabs>
        <w:ind w:left="2040" w:hanging="36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I5OTNhYzQzNWRhZTJhMDE3N2Y2NzUwMzE4NDkyMjUifQ=="/>
    <w:docVar w:name="KSO_WPS_MARK_KEY" w:val="9eec6917-e4f3-4e32-b2ab-9f69d662d694"/>
  </w:docVars>
  <w:rsids>
    <w:rsidRoot w:val="00000000"/>
    <w:rsid w:val="002C61F7"/>
    <w:rsid w:val="0075194C"/>
    <w:rsid w:val="00BD0BD1"/>
    <w:rsid w:val="00FA7051"/>
    <w:rsid w:val="0117050B"/>
    <w:rsid w:val="011B013A"/>
    <w:rsid w:val="014D4677"/>
    <w:rsid w:val="019A5D02"/>
    <w:rsid w:val="01B5148C"/>
    <w:rsid w:val="01FD4257"/>
    <w:rsid w:val="02092C94"/>
    <w:rsid w:val="02221493"/>
    <w:rsid w:val="02BC7D06"/>
    <w:rsid w:val="02EF1607"/>
    <w:rsid w:val="03353615"/>
    <w:rsid w:val="03600603"/>
    <w:rsid w:val="03752D35"/>
    <w:rsid w:val="03885E3A"/>
    <w:rsid w:val="038B10BD"/>
    <w:rsid w:val="03A562C6"/>
    <w:rsid w:val="03A73482"/>
    <w:rsid w:val="04807FDC"/>
    <w:rsid w:val="049106C0"/>
    <w:rsid w:val="04B815C5"/>
    <w:rsid w:val="04D56E5D"/>
    <w:rsid w:val="04DC62CC"/>
    <w:rsid w:val="050B0AD1"/>
    <w:rsid w:val="052939ED"/>
    <w:rsid w:val="0543051F"/>
    <w:rsid w:val="054F3EF7"/>
    <w:rsid w:val="058273D3"/>
    <w:rsid w:val="06075F30"/>
    <w:rsid w:val="061816F7"/>
    <w:rsid w:val="067F4BD4"/>
    <w:rsid w:val="06831C0D"/>
    <w:rsid w:val="069B48BB"/>
    <w:rsid w:val="069C40D7"/>
    <w:rsid w:val="06C07F8B"/>
    <w:rsid w:val="06D420AC"/>
    <w:rsid w:val="06E72E78"/>
    <w:rsid w:val="06FD0ADF"/>
    <w:rsid w:val="073D5089"/>
    <w:rsid w:val="07A45C7E"/>
    <w:rsid w:val="07FD6DF7"/>
    <w:rsid w:val="08055B26"/>
    <w:rsid w:val="0822187B"/>
    <w:rsid w:val="084B5A02"/>
    <w:rsid w:val="086821AF"/>
    <w:rsid w:val="088766C0"/>
    <w:rsid w:val="08CE05E5"/>
    <w:rsid w:val="08D15DD1"/>
    <w:rsid w:val="08D8516E"/>
    <w:rsid w:val="08F85810"/>
    <w:rsid w:val="092B3C07"/>
    <w:rsid w:val="09304FAA"/>
    <w:rsid w:val="09501D1B"/>
    <w:rsid w:val="095C18FB"/>
    <w:rsid w:val="09D838B7"/>
    <w:rsid w:val="09F5331D"/>
    <w:rsid w:val="0A021072"/>
    <w:rsid w:val="0A0D7992"/>
    <w:rsid w:val="0A494C47"/>
    <w:rsid w:val="0ABC5E6F"/>
    <w:rsid w:val="0AD031C5"/>
    <w:rsid w:val="0B790883"/>
    <w:rsid w:val="0C486007"/>
    <w:rsid w:val="0CCF6888"/>
    <w:rsid w:val="0CEF2A86"/>
    <w:rsid w:val="0D350DE1"/>
    <w:rsid w:val="0D3C540A"/>
    <w:rsid w:val="0D611F5C"/>
    <w:rsid w:val="0DA47FE5"/>
    <w:rsid w:val="0DB9426E"/>
    <w:rsid w:val="0DBE2B84"/>
    <w:rsid w:val="0DC108C7"/>
    <w:rsid w:val="0E462B7A"/>
    <w:rsid w:val="0E6C5513"/>
    <w:rsid w:val="0EB14497"/>
    <w:rsid w:val="0F0942D3"/>
    <w:rsid w:val="0F3155D8"/>
    <w:rsid w:val="0F6978BE"/>
    <w:rsid w:val="0F9B3635"/>
    <w:rsid w:val="0FE10DAC"/>
    <w:rsid w:val="0FE443F8"/>
    <w:rsid w:val="102F6E42"/>
    <w:rsid w:val="10305890"/>
    <w:rsid w:val="10365F4B"/>
    <w:rsid w:val="104D4694"/>
    <w:rsid w:val="10576A48"/>
    <w:rsid w:val="10833C11"/>
    <w:rsid w:val="108D06CD"/>
    <w:rsid w:val="10A5627E"/>
    <w:rsid w:val="10D848DD"/>
    <w:rsid w:val="110176B5"/>
    <w:rsid w:val="11056D1C"/>
    <w:rsid w:val="11515425"/>
    <w:rsid w:val="11651569"/>
    <w:rsid w:val="117D4B05"/>
    <w:rsid w:val="11811F12"/>
    <w:rsid w:val="11AF0677"/>
    <w:rsid w:val="11DD276D"/>
    <w:rsid w:val="1212349F"/>
    <w:rsid w:val="121A1DBD"/>
    <w:rsid w:val="122047E7"/>
    <w:rsid w:val="12352852"/>
    <w:rsid w:val="12601BA1"/>
    <w:rsid w:val="126C0C9E"/>
    <w:rsid w:val="12727028"/>
    <w:rsid w:val="1295124C"/>
    <w:rsid w:val="12C553B2"/>
    <w:rsid w:val="12D60970"/>
    <w:rsid w:val="131F3B08"/>
    <w:rsid w:val="132A2A6A"/>
    <w:rsid w:val="134C2CF6"/>
    <w:rsid w:val="13550114"/>
    <w:rsid w:val="138B0E7F"/>
    <w:rsid w:val="139C4BA9"/>
    <w:rsid w:val="13A66595"/>
    <w:rsid w:val="13D073EB"/>
    <w:rsid w:val="143F1C26"/>
    <w:rsid w:val="14616F66"/>
    <w:rsid w:val="147742FE"/>
    <w:rsid w:val="148157EA"/>
    <w:rsid w:val="14BF41B9"/>
    <w:rsid w:val="14E20166"/>
    <w:rsid w:val="15073CCA"/>
    <w:rsid w:val="151237B6"/>
    <w:rsid w:val="15231AEA"/>
    <w:rsid w:val="153A336F"/>
    <w:rsid w:val="154107ED"/>
    <w:rsid w:val="154F3A16"/>
    <w:rsid w:val="157611C0"/>
    <w:rsid w:val="157A18EF"/>
    <w:rsid w:val="15BD5589"/>
    <w:rsid w:val="165B26F5"/>
    <w:rsid w:val="165D7941"/>
    <w:rsid w:val="169A1CB5"/>
    <w:rsid w:val="16B56AEF"/>
    <w:rsid w:val="16CB4564"/>
    <w:rsid w:val="16E6586E"/>
    <w:rsid w:val="17081D54"/>
    <w:rsid w:val="17560579"/>
    <w:rsid w:val="17620A24"/>
    <w:rsid w:val="176E0943"/>
    <w:rsid w:val="177F00A1"/>
    <w:rsid w:val="17BE5AB7"/>
    <w:rsid w:val="17E15FE7"/>
    <w:rsid w:val="18040CA5"/>
    <w:rsid w:val="180B7ACA"/>
    <w:rsid w:val="186D7D12"/>
    <w:rsid w:val="18730A0F"/>
    <w:rsid w:val="18827918"/>
    <w:rsid w:val="18A45C4B"/>
    <w:rsid w:val="18D86803"/>
    <w:rsid w:val="18E40E40"/>
    <w:rsid w:val="194475E9"/>
    <w:rsid w:val="195653A8"/>
    <w:rsid w:val="19720CC7"/>
    <w:rsid w:val="197545B1"/>
    <w:rsid w:val="1A5B79AD"/>
    <w:rsid w:val="1A622AE9"/>
    <w:rsid w:val="1A644AB4"/>
    <w:rsid w:val="1AA9448E"/>
    <w:rsid w:val="1ABD2416"/>
    <w:rsid w:val="1B4B17D0"/>
    <w:rsid w:val="1B686241"/>
    <w:rsid w:val="1BAA299A"/>
    <w:rsid w:val="1BAF1D5E"/>
    <w:rsid w:val="1BC241F8"/>
    <w:rsid w:val="1BCF3911"/>
    <w:rsid w:val="1BE02255"/>
    <w:rsid w:val="1BE522E3"/>
    <w:rsid w:val="1C51025D"/>
    <w:rsid w:val="1C7258FE"/>
    <w:rsid w:val="1CE45AEA"/>
    <w:rsid w:val="1D2E13A9"/>
    <w:rsid w:val="1D315AF9"/>
    <w:rsid w:val="1D70551D"/>
    <w:rsid w:val="1D9C27B6"/>
    <w:rsid w:val="1DCE028B"/>
    <w:rsid w:val="1DD91493"/>
    <w:rsid w:val="1E032835"/>
    <w:rsid w:val="1E7D4895"/>
    <w:rsid w:val="1E85712D"/>
    <w:rsid w:val="1E961C9F"/>
    <w:rsid w:val="1F3F4992"/>
    <w:rsid w:val="1FB81EA9"/>
    <w:rsid w:val="1FF32492"/>
    <w:rsid w:val="20866BEB"/>
    <w:rsid w:val="2087695A"/>
    <w:rsid w:val="20971013"/>
    <w:rsid w:val="20FD356C"/>
    <w:rsid w:val="212C5BFF"/>
    <w:rsid w:val="21620AFF"/>
    <w:rsid w:val="2183322A"/>
    <w:rsid w:val="21AB1809"/>
    <w:rsid w:val="21B7196D"/>
    <w:rsid w:val="21B925E0"/>
    <w:rsid w:val="21BB3E6E"/>
    <w:rsid w:val="21C81DCC"/>
    <w:rsid w:val="222E44B2"/>
    <w:rsid w:val="22801A0F"/>
    <w:rsid w:val="22AA2170"/>
    <w:rsid w:val="22E0329C"/>
    <w:rsid w:val="23203648"/>
    <w:rsid w:val="23C640E9"/>
    <w:rsid w:val="23CB4A5D"/>
    <w:rsid w:val="2435301D"/>
    <w:rsid w:val="243A1F4F"/>
    <w:rsid w:val="24415E66"/>
    <w:rsid w:val="244F2C4F"/>
    <w:rsid w:val="24562D21"/>
    <w:rsid w:val="245C4AAB"/>
    <w:rsid w:val="24DF05B1"/>
    <w:rsid w:val="24E94533"/>
    <w:rsid w:val="25214F23"/>
    <w:rsid w:val="25416992"/>
    <w:rsid w:val="254F5C47"/>
    <w:rsid w:val="255216D9"/>
    <w:rsid w:val="25665B84"/>
    <w:rsid w:val="2573204F"/>
    <w:rsid w:val="25CE2556"/>
    <w:rsid w:val="26542183"/>
    <w:rsid w:val="26F27875"/>
    <w:rsid w:val="27576D0F"/>
    <w:rsid w:val="276A122F"/>
    <w:rsid w:val="277B343D"/>
    <w:rsid w:val="278514A9"/>
    <w:rsid w:val="27893DAB"/>
    <w:rsid w:val="278D4645"/>
    <w:rsid w:val="27E234FF"/>
    <w:rsid w:val="28120F00"/>
    <w:rsid w:val="282F1E8A"/>
    <w:rsid w:val="284C2989"/>
    <w:rsid w:val="28574083"/>
    <w:rsid w:val="285B737A"/>
    <w:rsid w:val="2868600E"/>
    <w:rsid w:val="286B1F95"/>
    <w:rsid w:val="28953575"/>
    <w:rsid w:val="28BA7F95"/>
    <w:rsid w:val="28C641B2"/>
    <w:rsid w:val="290B03EE"/>
    <w:rsid w:val="29287965"/>
    <w:rsid w:val="299D769A"/>
    <w:rsid w:val="29C6403C"/>
    <w:rsid w:val="29F23E8A"/>
    <w:rsid w:val="29F73CFA"/>
    <w:rsid w:val="2A1A330B"/>
    <w:rsid w:val="2A6D1762"/>
    <w:rsid w:val="2A88659C"/>
    <w:rsid w:val="2AFB4CB6"/>
    <w:rsid w:val="2B2219AE"/>
    <w:rsid w:val="2B5E554F"/>
    <w:rsid w:val="2B6568DD"/>
    <w:rsid w:val="2B6A5CA2"/>
    <w:rsid w:val="2B9E5140"/>
    <w:rsid w:val="2BA27DD7"/>
    <w:rsid w:val="2BA74800"/>
    <w:rsid w:val="2C02237E"/>
    <w:rsid w:val="2C104689"/>
    <w:rsid w:val="2C1D0F66"/>
    <w:rsid w:val="2C2422F5"/>
    <w:rsid w:val="2C72074B"/>
    <w:rsid w:val="2C884632"/>
    <w:rsid w:val="2CB177FA"/>
    <w:rsid w:val="2CD62806"/>
    <w:rsid w:val="2CE44ADD"/>
    <w:rsid w:val="2D051EB8"/>
    <w:rsid w:val="2D2D004C"/>
    <w:rsid w:val="2D3A1CC6"/>
    <w:rsid w:val="2D47308A"/>
    <w:rsid w:val="2D4A18E7"/>
    <w:rsid w:val="2D884081"/>
    <w:rsid w:val="2D957CF5"/>
    <w:rsid w:val="2DAD59E7"/>
    <w:rsid w:val="2DB73C0D"/>
    <w:rsid w:val="2E2440C9"/>
    <w:rsid w:val="2E742A33"/>
    <w:rsid w:val="2E9E00A7"/>
    <w:rsid w:val="2EB060C2"/>
    <w:rsid w:val="2EC42436"/>
    <w:rsid w:val="2EF32057"/>
    <w:rsid w:val="2EF35126"/>
    <w:rsid w:val="2F2A1C15"/>
    <w:rsid w:val="2F3644C5"/>
    <w:rsid w:val="2F8962A9"/>
    <w:rsid w:val="2F8C268B"/>
    <w:rsid w:val="2FDC3709"/>
    <w:rsid w:val="30091309"/>
    <w:rsid w:val="303837B5"/>
    <w:rsid w:val="305C0A2E"/>
    <w:rsid w:val="309B2C5C"/>
    <w:rsid w:val="30A05605"/>
    <w:rsid w:val="30B5421D"/>
    <w:rsid w:val="30DA11D4"/>
    <w:rsid w:val="30DB023F"/>
    <w:rsid w:val="313712BB"/>
    <w:rsid w:val="313729F6"/>
    <w:rsid w:val="313B6DB1"/>
    <w:rsid w:val="318F018F"/>
    <w:rsid w:val="31926A3D"/>
    <w:rsid w:val="31A057FC"/>
    <w:rsid w:val="31F0593E"/>
    <w:rsid w:val="322B3943"/>
    <w:rsid w:val="323E48BD"/>
    <w:rsid w:val="324A6EF2"/>
    <w:rsid w:val="324E6AA5"/>
    <w:rsid w:val="32CF5E49"/>
    <w:rsid w:val="32E225C2"/>
    <w:rsid w:val="33106F79"/>
    <w:rsid w:val="33134E71"/>
    <w:rsid w:val="33546DD8"/>
    <w:rsid w:val="33BD2A29"/>
    <w:rsid w:val="33E5752C"/>
    <w:rsid w:val="34192013"/>
    <w:rsid w:val="342B43A1"/>
    <w:rsid w:val="3447384F"/>
    <w:rsid w:val="3474193F"/>
    <w:rsid w:val="34BB756E"/>
    <w:rsid w:val="353771B6"/>
    <w:rsid w:val="356E6305"/>
    <w:rsid w:val="35B2689C"/>
    <w:rsid w:val="35D703D8"/>
    <w:rsid w:val="36046DCF"/>
    <w:rsid w:val="36754F9C"/>
    <w:rsid w:val="368D53F3"/>
    <w:rsid w:val="36B942D9"/>
    <w:rsid w:val="36C103F8"/>
    <w:rsid w:val="36DD067B"/>
    <w:rsid w:val="36F647DD"/>
    <w:rsid w:val="3735230E"/>
    <w:rsid w:val="377759CE"/>
    <w:rsid w:val="3791061D"/>
    <w:rsid w:val="37E312B6"/>
    <w:rsid w:val="380D17DE"/>
    <w:rsid w:val="381641A8"/>
    <w:rsid w:val="38190834"/>
    <w:rsid w:val="382528FC"/>
    <w:rsid w:val="382C6791"/>
    <w:rsid w:val="383B54B4"/>
    <w:rsid w:val="38590FD6"/>
    <w:rsid w:val="385F5004"/>
    <w:rsid w:val="3874362B"/>
    <w:rsid w:val="38E0004C"/>
    <w:rsid w:val="39E97325"/>
    <w:rsid w:val="3A0C6872"/>
    <w:rsid w:val="3A0D261A"/>
    <w:rsid w:val="3A4575FF"/>
    <w:rsid w:val="3A926F37"/>
    <w:rsid w:val="3B00217F"/>
    <w:rsid w:val="3B3F2CA7"/>
    <w:rsid w:val="3BE35255"/>
    <w:rsid w:val="3BF426EE"/>
    <w:rsid w:val="3C5E715D"/>
    <w:rsid w:val="3C6A3D54"/>
    <w:rsid w:val="3CAD3C40"/>
    <w:rsid w:val="3CB866C5"/>
    <w:rsid w:val="3CBF5299"/>
    <w:rsid w:val="3CFA5BD5"/>
    <w:rsid w:val="3D255ECD"/>
    <w:rsid w:val="3D5347E8"/>
    <w:rsid w:val="3D553199"/>
    <w:rsid w:val="3DC3312C"/>
    <w:rsid w:val="3DE11DF4"/>
    <w:rsid w:val="3E3D0FF4"/>
    <w:rsid w:val="3E6447D3"/>
    <w:rsid w:val="3E7C7212"/>
    <w:rsid w:val="3EB16D20"/>
    <w:rsid w:val="3EBC2D64"/>
    <w:rsid w:val="3EEF22EE"/>
    <w:rsid w:val="3EF57C4F"/>
    <w:rsid w:val="3EFB6EE5"/>
    <w:rsid w:val="3F280D1E"/>
    <w:rsid w:val="3F4D5CCE"/>
    <w:rsid w:val="3F577E93"/>
    <w:rsid w:val="3F8C6B74"/>
    <w:rsid w:val="3F93536F"/>
    <w:rsid w:val="3FA532F5"/>
    <w:rsid w:val="3FC141AC"/>
    <w:rsid w:val="3FF47527"/>
    <w:rsid w:val="3FFD062E"/>
    <w:rsid w:val="40095632"/>
    <w:rsid w:val="404448BC"/>
    <w:rsid w:val="404638FD"/>
    <w:rsid w:val="404C6A22"/>
    <w:rsid w:val="404E256C"/>
    <w:rsid w:val="40552625"/>
    <w:rsid w:val="407F0588"/>
    <w:rsid w:val="409254B7"/>
    <w:rsid w:val="40A16E0F"/>
    <w:rsid w:val="40AF6325"/>
    <w:rsid w:val="40F2256A"/>
    <w:rsid w:val="40F721A7"/>
    <w:rsid w:val="4165553C"/>
    <w:rsid w:val="4174017A"/>
    <w:rsid w:val="4188110D"/>
    <w:rsid w:val="42554B5E"/>
    <w:rsid w:val="425F337F"/>
    <w:rsid w:val="42887351"/>
    <w:rsid w:val="42A96C58"/>
    <w:rsid w:val="42DE6A81"/>
    <w:rsid w:val="43003C7E"/>
    <w:rsid w:val="43267767"/>
    <w:rsid w:val="43290586"/>
    <w:rsid w:val="433429C6"/>
    <w:rsid w:val="4351362D"/>
    <w:rsid w:val="435304A1"/>
    <w:rsid w:val="43A7763B"/>
    <w:rsid w:val="43B03E7E"/>
    <w:rsid w:val="4416656F"/>
    <w:rsid w:val="44B02520"/>
    <w:rsid w:val="44F05780"/>
    <w:rsid w:val="45A00B94"/>
    <w:rsid w:val="45AB114D"/>
    <w:rsid w:val="45C542A3"/>
    <w:rsid w:val="45E40432"/>
    <w:rsid w:val="45E95AF5"/>
    <w:rsid w:val="462B3616"/>
    <w:rsid w:val="467F05CF"/>
    <w:rsid w:val="46A165C4"/>
    <w:rsid w:val="46FC2E07"/>
    <w:rsid w:val="47BB7B0C"/>
    <w:rsid w:val="47C85DD2"/>
    <w:rsid w:val="47CC005C"/>
    <w:rsid w:val="47CD163B"/>
    <w:rsid w:val="47EB01EC"/>
    <w:rsid w:val="47EF47A1"/>
    <w:rsid w:val="480A0199"/>
    <w:rsid w:val="48AB6FFA"/>
    <w:rsid w:val="48D37C97"/>
    <w:rsid w:val="48D53D2F"/>
    <w:rsid w:val="49192B4A"/>
    <w:rsid w:val="491B78A4"/>
    <w:rsid w:val="491F7C74"/>
    <w:rsid w:val="494F522F"/>
    <w:rsid w:val="495576E0"/>
    <w:rsid w:val="49900B72"/>
    <w:rsid w:val="4A022654"/>
    <w:rsid w:val="4A0E6C48"/>
    <w:rsid w:val="4A8B6B1C"/>
    <w:rsid w:val="4ABA5EA6"/>
    <w:rsid w:val="4AC0096E"/>
    <w:rsid w:val="4B31419E"/>
    <w:rsid w:val="4B446742"/>
    <w:rsid w:val="4B4544B8"/>
    <w:rsid w:val="4B650DC4"/>
    <w:rsid w:val="4B8E3918"/>
    <w:rsid w:val="4BA33FD7"/>
    <w:rsid w:val="4BBC5068"/>
    <w:rsid w:val="4BCA73C6"/>
    <w:rsid w:val="4BEB727A"/>
    <w:rsid w:val="4C0916A7"/>
    <w:rsid w:val="4C254DB1"/>
    <w:rsid w:val="4C2B6930"/>
    <w:rsid w:val="4C3426B9"/>
    <w:rsid w:val="4C371478"/>
    <w:rsid w:val="4C373EF5"/>
    <w:rsid w:val="4C59349D"/>
    <w:rsid w:val="4C6F4A6E"/>
    <w:rsid w:val="4C927416"/>
    <w:rsid w:val="4CC103F0"/>
    <w:rsid w:val="4CC72AFC"/>
    <w:rsid w:val="4CD566AA"/>
    <w:rsid w:val="4CFA2BAC"/>
    <w:rsid w:val="4D1675E0"/>
    <w:rsid w:val="4D1D096E"/>
    <w:rsid w:val="4D302884"/>
    <w:rsid w:val="4D69435C"/>
    <w:rsid w:val="4DA26373"/>
    <w:rsid w:val="4E08517B"/>
    <w:rsid w:val="4E2A3343"/>
    <w:rsid w:val="4E3F66C2"/>
    <w:rsid w:val="4E63198C"/>
    <w:rsid w:val="4EA07161"/>
    <w:rsid w:val="4EB66985"/>
    <w:rsid w:val="4EB75C03"/>
    <w:rsid w:val="4F1B5B6A"/>
    <w:rsid w:val="4F5C2E93"/>
    <w:rsid w:val="4F6A1D5A"/>
    <w:rsid w:val="4F701326"/>
    <w:rsid w:val="4FAD68C2"/>
    <w:rsid w:val="4FBA34DD"/>
    <w:rsid w:val="4FCE4A60"/>
    <w:rsid w:val="4FEE565A"/>
    <w:rsid w:val="5022142E"/>
    <w:rsid w:val="505E59FF"/>
    <w:rsid w:val="5086682B"/>
    <w:rsid w:val="508825A3"/>
    <w:rsid w:val="508A1E77"/>
    <w:rsid w:val="50A32D71"/>
    <w:rsid w:val="50D21A70"/>
    <w:rsid w:val="51010D79"/>
    <w:rsid w:val="513005C6"/>
    <w:rsid w:val="5137387D"/>
    <w:rsid w:val="514A6566"/>
    <w:rsid w:val="51861378"/>
    <w:rsid w:val="51900756"/>
    <w:rsid w:val="51907961"/>
    <w:rsid w:val="51AA27DA"/>
    <w:rsid w:val="51EB2DE9"/>
    <w:rsid w:val="51F32982"/>
    <w:rsid w:val="5224506F"/>
    <w:rsid w:val="524A627F"/>
    <w:rsid w:val="524D5852"/>
    <w:rsid w:val="52833022"/>
    <w:rsid w:val="52935B21"/>
    <w:rsid w:val="52D7511B"/>
    <w:rsid w:val="52FC5A6A"/>
    <w:rsid w:val="536328B0"/>
    <w:rsid w:val="5366177C"/>
    <w:rsid w:val="5383272C"/>
    <w:rsid w:val="538C75EB"/>
    <w:rsid w:val="53980D4F"/>
    <w:rsid w:val="53E700B7"/>
    <w:rsid w:val="53FB3CD3"/>
    <w:rsid w:val="54263E91"/>
    <w:rsid w:val="54307C7C"/>
    <w:rsid w:val="5470139E"/>
    <w:rsid w:val="54B00959"/>
    <w:rsid w:val="54C47BEB"/>
    <w:rsid w:val="557F40BF"/>
    <w:rsid w:val="559509EF"/>
    <w:rsid w:val="55BE25C3"/>
    <w:rsid w:val="55D047A7"/>
    <w:rsid w:val="561641AD"/>
    <w:rsid w:val="568502CE"/>
    <w:rsid w:val="56935E9F"/>
    <w:rsid w:val="56995ED8"/>
    <w:rsid w:val="56CD5684"/>
    <w:rsid w:val="56D70E54"/>
    <w:rsid w:val="579272BB"/>
    <w:rsid w:val="579B705F"/>
    <w:rsid w:val="57E428FB"/>
    <w:rsid w:val="57F93E50"/>
    <w:rsid w:val="580E2365"/>
    <w:rsid w:val="584B2834"/>
    <w:rsid w:val="589B7234"/>
    <w:rsid w:val="591C3673"/>
    <w:rsid w:val="59260BAB"/>
    <w:rsid w:val="59BD67F6"/>
    <w:rsid w:val="59C05E62"/>
    <w:rsid w:val="59E7658C"/>
    <w:rsid w:val="59FA62BF"/>
    <w:rsid w:val="5A0C7CAD"/>
    <w:rsid w:val="5A35454F"/>
    <w:rsid w:val="5A4263BF"/>
    <w:rsid w:val="5A4A08C9"/>
    <w:rsid w:val="5A4F003A"/>
    <w:rsid w:val="5ADF35E9"/>
    <w:rsid w:val="5B4D0671"/>
    <w:rsid w:val="5B693F08"/>
    <w:rsid w:val="5B73348F"/>
    <w:rsid w:val="5BDD633E"/>
    <w:rsid w:val="5C681BB2"/>
    <w:rsid w:val="5C7C7666"/>
    <w:rsid w:val="5CC84423"/>
    <w:rsid w:val="5D2E21A9"/>
    <w:rsid w:val="5D311D3A"/>
    <w:rsid w:val="5D6E241A"/>
    <w:rsid w:val="5D805A71"/>
    <w:rsid w:val="5DE126B0"/>
    <w:rsid w:val="5E587A58"/>
    <w:rsid w:val="5EFA466C"/>
    <w:rsid w:val="5F434264"/>
    <w:rsid w:val="5FF437B1"/>
    <w:rsid w:val="6006464F"/>
    <w:rsid w:val="605E6E7C"/>
    <w:rsid w:val="60730B79"/>
    <w:rsid w:val="608F1A04"/>
    <w:rsid w:val="60AD4975"/>
    <w:rsid w:val="61007F33"/>
    <w:rsid w:val="611440D5"/>
    <w:rsid w:val="612054D2"/>
    <w:rsid w:val="61264D9D"/>
    <w:rsid w:val="614D4566"/>
    <w:rsid w:val="61514B10"/>
    <w:rsid w:val="61571C70"/>
    <w:rsid w:val="619247D5"/>
    <w:rsid w:val="61CB6793"/>
    <w:rsid w:val="61F07FA8"/>
    <w:rsid w:val="61F76C38"/>
    <w:rsid w:val="61FE6888"/>
    <w:rsid w:val="62233ED9"/>
    <w:rsid w:val="62832A3D"/>
    <w:rsid w:val="62856942"/>
    <w:rsid w:val="628E34F6"/>
    <w:rsid w:val="630F26B0"/>
    <w:rsid w:val="631101D6"/>
    <w:rsid w:val="633D2CC2"/>
    <w:rsid w:val="635051A2"/>
    <w:rsid w:val="6354604D"/>
    <w:rsid w:val="635D477E"/>
    <w:rsid w:val="636676A4"/>
    <w:rsid w:val="638C2707"/>
    <w:rsid w:val="63BD333F"/>
    <w:rsid w:val="63D23B29"/>
    <w:rsid w:val="63E9545C"/>
    <w:rsid w:val="63ED47CD"/>
    <w:rsid w:val="64630F05"/>
    <w:rsid w:val="647F4134"/>
    <w:rsid w:val="64DF4F6A"/>
    <w:rsid w:val="652B2E43"/>
    <w:rsid w:val="652F3FAE"/>
    <w:rsid w:val="655C6080"/>
    <w:rsid w:val="65A25A5D"/>
    <w:rsid w:val="65A94AD7"/>
    <w:rsid w:val="65AC7FBB"/>
    <w:rsid w:val="66101E53"/>
    <w:rsid w:val="663F14FE"/>
    <w:rsid w:val="66672D99"/>
    <w:rsid w:val="66B75538"/>
    <w:rsid w:val="671E1113"/>
    <w:rsid w:val="672033B7"/>
    <w:rsid w:val="675B62B8"/>
    <w:rsid w:val="676E5BF7"/>
    <w:rsid w:val="67744E5B"/>
    <w:rsid w:val="677B47B7"/>
    <w:rsid w:val="677E4A78"/>
    <w:rsid w:val="67D400BC"/>
    <w:rsid w:val="67D426D8"/>
    <w:rsid w:val="67DC5256"/>
    <w:rsid w:val="684921C0"/>
    <w:rsid w:val="684E0EF2"/>
    <w:rsid w:val="686F6FB6"/>
    <w:rsid w:val="68B56151"/>
    <w:rsid w:val="6938124E"/>
    <w:rsid w:val="695707BA"/>
    <w:rsid w:val="6999733E"/>
    <w:rsid w:val="69A22C77"/>
    <w:rsid w:val="69B95123"/>
    <w:rsid w:val="69C243A3"/>
    <w:rsid w:val="69EB7588"/>
    <w:rsid w:val="69EC374B"/>
    <w:rsid w:val="69F04FE9"/>
    <w:rsid w:val="69F34AD9"/>
    <w:rsid w:val="6A132A85"/>
    <w:rsid w:val="6A51251C"/>
    <w:rsid w:val="6A5A06B4"/>
    <w:rsid w:val="6AC83870"/>
    <w:rsid w:val="6ACB6D16"/>
    <w:rsid w:val="6C09402E"/>
    <w:rsid w:val="6C1910E5"/>
    <w:rsid w:val="6C402788"/>
    <w:rsid w:val="6C8452C4"/>
    <w:rsid w:val="6C8639E2"/>
    <w:rsid w:val="6CDB00AC"/>
    <w:rsid w:val="6CDC3602"/>
    <w:rsid w:val="6D003795"/>
    <w:rsid w:val="6D080B5C"/>
    <w:rsid w:val="6D266F73"/>
    <w:rsid w:val="6D2F407A"/>
    <w:rsid w:val="6D3012AF"/>
    <w:rsid w:val="6D4D4500"/>
    <w:rsid w:val="6D851EEC"/>
    <w:rsid w:val="6DA73C10"/>
    <w:rsid w:val="6DBF3489"/>
    <w:rsid w:val="6DFF1EEE"/>
    <w:rsid w:val="6E3B17E5"/>
    <w:rsid w:val="6E6265D7"/>
    <w:rsid w:val="6E722876"/>
    <w:rsid w:val="6E773F35"/>
    <w:rsid w:val="6E8C1040"/>
    <w:rsid w:val="6EB9074A"/>
    <w:rsid w:val="6EBA3E17"/>
    <w:rsid w:val="6EDC1FE0"/>
    <w:rsid w:val="6F1B1DC6"/>
    <w:rsid w:val="6F2E0811"/>
    <w:rsid w:val="6F40431D"/>
    <w:rsid w:val="6F4137E1"/>
    <w:rsid w:val="6F5F65B1"/>
    <w:rsid w:val="6F766C36"/>
    <w:rsid w:val="70052E81"/>
    <w:rsid w:val="703947D7"/>
    <w:rsid w:val="703B4AE4"/>
    <w:rsid w:val="70650FFA"/>
    <w:rsid w:val="7092142C"/>
    <w:rsid w:val="70CB40BA"/>
    <w:rsid w:val="70EC2BFF"/>
    <w:rsid w:val="70ED448B"/>
    <w:rsid w:val="71073C49"/>
    <w:rsid w:val="710F044A"/>
    <w:rsid w:val="712D08D1"/>
    <w:rsid w:val="712D6B22"/>
    <w:rsid w:val="71360DDA"/>
    <w:rsid w:val="713932CF"/>
    <w:rsid w:val="71600F2E"/>
    <w:rsid w:val="716700FD"/>
    <w:rsid w:val="717E737E"/>
    <w:rsid w:val="71823676"/>
    <w:rsid w:val="71954DDE"/>
    <w:rsid w:val="720F713E"/>
    <w:rsid w:val="72105C32"/>
    <w:rsid w:val="72677E12"/>
    <w:rsid w:val="72A25253"/>
    <w:rsid w:val="72D354A8"/>
    <w:rsid w:val="730B69EF"/>
    <w:rsid w:val="7312163B"/>
    <w:rsid w:val="73191E7E"/>
    <w:rsid w:val="73326672"/>
    <w:rsid w:val="735C724B"/>
    <w:rsid w:val="73A74695"/>
    <w:rsid w:val="73B258A2"/>
    <w:rsid w:val="742608D8"/>
    <w:rsid w:val="74A240A7"/>
    <w:rsid w:val="757150C0"/>
    <w:rsid w:val="75CA3C25"/>
    <w:rsid w:val="75D0050E"/>
    <w:rsid w:val="75E82833"/>
    <w:rsid w:val="76183B8B"/>
    <w:rsid w:val="76245BB9"/>
    <w:rsid w:val="772C7A98"/>
    <w:rsid w:val="773A5AF5"/>
    <w:rsid w:val="77482A85"/>
    <w:rsid w:val="77495D38"/>
    <w:rsid w:val="77496D04"/>
    <w:rsid w:val="776D5ECB"/>
    <w:rsid w:val="77BF1C65"/>
    <w:rsid w:val="77D77D78"/>
    <w:rsid w:val="77FE2FC7"/>
    <w:rsid w:val="785030F6"/>
    <w:rsid w:val="785B3F75"/>
    <w:rsid w:val="78994AAF"/>
    <w:rsid w:val="79351E51"/>
    <w:rsid w:val="794744F9"/>
    <w:rsid w:val="79C913B2"/>
    <w:rsid w:val="79CD5581"/>
    <w:rsid w:val="7A032EEF"/>
    <w:rsid w:val="7A5213A8"/>
    <w:rsid w:val="7A763D6B"/>
    <w:rsid w:val="7A92183F"/>
    <w:rsid w:val="7A9A703A"/>
    <w:rsid w:val="7B054DEB"/>
    <w:rsid w:val="7B3F4C2C"/>
    <w:rsid w:val="7B50271F"/>
    <w:rsid w:val="7B83557E"/>
    <w:rsid w:val="7BA10073"/>
    <w:rsid w:val="7BB15D42"/>
    <w:rsid w:val="7BB226F8"/>
    <w:rsid w:val="7BBA7475"/>
    <w:rsid w:val="7BD50424"/>
    <w:rsid w:val="7C104DB7"/>
    <w:rsid w:val="7C280623"/>
    <w:rsid w:val="7CA140F6"/>
    <w:rsid w:val="7CC6064D"/>
    <w:rsid w:val="7D396C2C"/>
    <w:rsid w:val="7D50667B"/>
    <w:rsid w:val="7D80447E"/>
    <w:rsid w:val="7DF33B19"/>
    <w:rsid w:val="7E0B3D48"/>
    <w:rsid w:val="7EAD12A3"/>
    <w:rsid w:val="7ED21514"/>
    <w:rsid w:val="7EDD144D"/>
    <w:rsid w:val="7EEA1BAF"/>
    <w:rsid w:val="7F052E8D"/>
    <w:rsid w:val="7F16172A"/>
    <w:rsid w:val="7F360D2F"/>
    <w:rsid w:val="7F6D23A0"/>
    <w:rsid w:val="7FDF548C"/>
    <w:rsid w:val="7FEA4928"/>
    <w:rsid w:val="7FF058EB"/>
    <w:rsid w:val="7FF54CA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nhideWhenUsed="0" w:uiPriority="1"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720" w:firstLineChars="200"/>
      <w:jc w:val="both"/>
    </w:pPr>
    <w:rPr>
      <w:rFonts w:ascii="Times New Roman" w:hAnsi="Times New Roman" w:eastAsia="宋体" w:cstheme="minorBidi"/>
      <w:kern w:val="2"/>
      <w:sz w:val="24"/>
      <w:szCs w:val="24"/>
      <w:lang w:val="en-US" w:eastAsia="zh-CN" w:bidi="ar-SA"/>
    </w:rPr>
  </w:style>
  <w:style w:type="paragraph" w:styleId="6">
    <w:name w:val="heading 1"/>
    <w:basedOn w:val="1"/>
    <w:next w:val="1"/>
    <w:qFormat/>
    <w:uiPriority w:val="0"/>
    <w:pPr>
      <w:keepNext/>
      <w:pageBreakBefore/>
      <w:overflowPunct w:val="0"/>
      <w:snapToGrid w:val="0"/>
      <w:ind w:firstLine="0" w:firstLineChars="0"/>
      <w:jc w:val="both"/>
      <w:outlineLvl w:val="0"/>
    </w:pPr>
    <w:rPr>
      <w:rFonts w:eastAsia="宋体" w:asciiTheme="minorAscii" w:hAnsiTheme="minorAscii"/>
      <w:b/>
      <w:bCs/>
      <w:color w:val="000000"/>
      <w:kern w:val="44"/>
      <w:sz w:val="28"/>
      <w:szCs w:val="30"/>
    </w:rPr>
  </w:style>
  <w:style w:type="paragraph" w:styleId="7">
    <w:name w:val="heading 3"/>
    <w:basedOn w:val="1"/>
    <w:next w:val="1"/>
    <w:qFormat/>
    <w:uiPriority w:val="1"/>
    <w:pPr>
      <w:ind w:left="766" w:hanging="541"/>
      <w:outlineLvl w:val="3"/>
    </w:pPr>
    <w:rPr>
      <w:rFonts w:ascii="宋体" w:hAnsi="宋体" w:eastAsia="宋体" w:cs="宋体"/>
      <w:b/>
      <w:bCs/>
      <w:sz w:val="24"/>
      <w:szCs w:val="24"/>
      <w:lang w:val="zh-CN" w:eastAsia="zh-CN" w:bidi="zh-CN"/>
    </w:rPr>
  </w:style>
  <w:style w:type="paragraph" w:styleId="8">
    <w:name w:val="heading 4"/>
    <w:basedOn w:val="1"/>
    <w:next w:val="1"/>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21">
    <w:name w:val="Default Paragraph Font"/>
    <w:semiHidden/>
    <w:qFormat/>
    <w:uiPriority w:val="0"/>
  </w:style>
  <w:style w:type="table" w:default="1" w:styleId="19">
    <w:name w:val="Normal Table"/>
    <w:semiHidden/>
    <w:qFormat/>
    <w:uiPriority w:val="0"/>
    <w:tblPr>
      <w:tblCellMar>
        <w:top w:w="0" w:type="dxa"/>
        <w:left w:w="108" w:type="dxa"/>
        <w:bottom w:w="0" w:type="dxa"/>
        <w:right w:w="108" w:type="dxa"/>
      </w:tblCellMar>
    </w:tblPr>
  </w:style>
  <w:style w:type="paragraph" w:styleId="2">
    <w:name w:val="Normal Indent"/>
    <w:basedOn w:val="1"/>
    <w:next w:val="3"/>
    <w:qFormat/>
    <w:uiPriority w:val="0"/>
    <w:pPr>
      <w:ind w:firstLine="420"/>
    </w:pPr>
  </w:style>
  <w:style w:type="paragraph" w:styleId="3">
    <w:name w:val="Body Text First Indent 2"/>
    <w:basedOn w:val="4"/>
    <w:next w:val="5"/>
    <w:qFormat/>
    <w:uiPriority w:val="0"/>
    <w:pPr>
      <w:ind w:firstLine="420"/>
    </w:pPr>
  </w:style>
  <w:style w:type="paragraph" w:styleId="4">
    <w:name w:val="Body Text Indent"/>
    <w:basedOn w:val="1"/>
    <w:next w:val="1"/>
    <w:qFormat/>
    <w:uiPriority w:val="0"/>
    <w:pPr>
      <w:spacing w:after="120"/>
      <w:ind w:left="420" w:leftChars="200"/>
    </w:pPr>
    <w:rPr>
      <w:kern w:val="0"/>
      <w:szCs w:val="20"/>
    </w:rPr>
  </w:style>
  <w:style w:type="paragraph" w:customStyle="1" w:styleId="5">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styleId="9">
    <w:name w:val="toa heading"/>
    <w:basedOn w:val="1"/>
    <w:next w:val="1"/>
    <w:qFormat/>
    <w:uiPriority w:val="0"/>
    <w:pPr>
      <w:spacing w:before="120" w:beforeLines="0" w:beforeAutospacing="0"/>
    </w:pPr>
    <w:rPr>
      <w:rFonts w:ascii="Arial" w:hAnsi="Arial"/>
      <w:sz w:val="24"/>
    </w:rPr>
  </w:style>
  <w:style w:type="paragraph" w:styleId="10">
    <w:name w:val="annotation text"/>
    <w:basedOn w:val="1"/>
    <w:semiHidden/>
    <w:qFormat/>
    <w:uiPriority w:val="0"/>
    <w:pPr>
      <w:jc w:val="left"/>
    </w:pPr>
    <w:rPr>
      <w:kern w:val="0"/>
      <w:szCs w:val="20"/>
    </w:rPr>
  </w:style>
  <w:style w:type="paragraph" w:styleId="11">
    <w:name w:val="Body Text"/>
    <w:basedOn w:val="1"/>
    <w:next w:val="12"/>
    <w:qFormat/>
    <w:uiPriority w:val="0"/>
    <w:rPr>
      <w:rFonts w:ascii="宋体"/>
      <w:color w:val="000000"/>
      <w:szCs w:val="28"/>
    </w:rPr>
  </w:style>
  <w:style w:type="paragraph" w:customStyle="1" w:styleId="12">
    <w:name w:val="xl27"/>
    <w:basedOn w:val="1"/>
    <w:qFormat/>
    <w:uiPriority w:val="0"/>
    <w:pPr>
      <w:widowControl/>
      <w:pBdr>
        <w:bottom w:val="single" w:color="auto" w:sz="4" w:space="0"/>
        <w:right w:val="single" w:color="auto" w:sz="4" w:space="0"/>
      </w:pBdr>
      <w:spacing w:before="100" w:beforeAutospacing="1" w:after="100" w:afterAutospacing="1"/>
      <w:jc w:val="center"/>
    </w:pPr>
    <w:rPr>
      <w:kern w:val="0"/>
      <w:szCs w:val="21"/>
    </w:rPr>
  </w:style>
  <w:style w:type="paragraph" w:styleId="13">
    <w:name w:val="List Bullet 5"/>
    <w:basedOn w:val="1"/>
    <w:qFormat/>
    <w:uiPriority w:val="0"/>
    <w:pPr>
      <w:numPr>
        <w:ilvl w:val="0"/>
        <w:numId w:val="1"/>
      </w:numPr>
    </w:pPr>
  </w:style>
  <w:style w:type="paragraph" w:styleId="14">
    <w:name w:val="footer"/>
    <w:basedOn w:val="1"/>
    <w:qFormat/>
    <w:uiPriority w:val="0"/>
    <w:pPr>
      <w:tabs>
        <w:tab w:val="center" w:pos="4153"/>
        <w:tab w:val="right" w:pos="8306"/>
      </w:tabs>
      <w:snapToGrid w:val="0"/>
      <w:jc w:val="left"/>
    </w:pPr>
    <w:rPr>
      <w:kern w:val="0"/>
      <w:sz w:val="18"/>
      <w:szCs w:val="20"/>
    </w:rPr>
  </w:style>
  <w:style w:type="paragraph" w:styleId="15">
    <w:name w:val="header"/>
    <w:basedOn w:val="1"/>
    <w:qFormat/>
    <w:uiPriority w:val="0"/>
    <w:pPr>
      <w:pBdr>
        <w:bottom w:val="single" w:color="auto" w:sz="6" w:space="1"/>
      </w:pBdr>
      <w:tabs>
        <w:tab w:val="center" w:pos="4153"/>
        <w:tab w:val="right" w:pos="8306"/>
      </w:tabs>
      <w:snapToGrid w:val="0"/>
      <w:jc w:val="center"/>
    </w:pPr>
    <w:rPr>
      <w:kern w:val="0"/>
      <w:sz w:val="18"/>
      <w:szCs w:val="20"/>
    </w:rPr>
  </w:style>
  <w:style w:type="paragraph" w:styleId="16">
    <w:name w:val="toc 2"/>
    <w:basedOn w:val="1"/>
    <w:next w:val="1"/>
    <w:qFormat/>
    <w:uiPriority w:val="0"/>
    <w:pPr>
      <w:ind w:left="420" w:leftChars="200"/>
    </w:pPr>
  </w:style>
  <w:style w:type="paragraph" w:styleId="17">
    <w:name w:val="Normal (Web)"/>
    <w:basedOn w:val="1"/>
    <w:qFormat/>
    <w:uiPriority w:val="0"/>
    <w:pPr>
      <w:widowControl/>
      <w:spacing w:before="100" w:beforeAutospacing="1" w:after="100" w:afterAutospacing="1"/>
      <w:jc w:val="left"/>
    </w:pPr>
    <w:rPr>
      <w:rFonts w:ascii="宋体" w:hAnsi="宋体"/>
      <w:kern w:val="0"/>
      <w:szCs w:val="20"/>
    </w:rPr>
  </w:style>
  <w:style w:type="paragraph" w:styleId="18">
    <w:name w:val="Body Text First Indent"/>
    <w:basedOn w:val="11"/>
    <w:next w:val="1"/>
    <w:qFormat/>
    <w:uiPriority w:val="0"/>
    <w:pPr>
      <w:spacing w:after="120"/>
      <w:ind w:firstLine="100" w:firstLineChars="100"/>
    </w:pPr>
    <w:rPr>
      <w:rFonts w:ascii="Times New Roman" w:hAnsi="Times New Roman"/>
      <w:color w:val="auto"/>
      <w:sz w:val="28"/>
      <w:szCs w:val="24"/>
    </w:rPr>
  </w:style>
  <w:style w:type="table" w:styleId="20">
    <w:name w:val="Table Grid"/>
    <w:basedOn w:val="1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Strong"/>
    <w:basedOn w:val="21"/>
    <w:qFormat/>
    <w:uiPriority w:val="0"/>
    <w:rPr>
      <w:b/>
    </w:rPr>
  </w:style>
  <w:style w:type="character" w:styleId="23">
    <w:name w:val="page number"/>
    <w:basedOn w:val="21"/>
    <w:qFormat/>
    <w:uiPriority w:val="0"/>
  </w:style>
  <w:style w:type="character" w:styleId="24">
    <w:name w:val="Hyperlink"/>
    <w:basedOn w:val="21"/>
    <w:qFormat/>
    <w:uiPriority w:val="0"/>
    <w:rPr>
      <w:color w:val="0000FF"/>
      <w:u w:val="single"/>
    </w:rPr>
  </w:style>
  <w:style w:type="character" w:styleId="25">
    <w:name w:val="annotation reference"/>
    <w:basedOn w:val="21"/>
    <w:semiHidden/>
    <w:qFormat/>
    <w:uiPriority w:val="0"/>
    <w:rPr>
      <w:sz w:val="21"/>
    </w:rPr>
  </w:style>
  <w:style w:type="paragraph" w:customStyle="1" w:styleId="26">
    <w:name w:val="[1]正文"/>
    <w:basedOn w:val="1"/>
    <w:qFormat/>
    <w:uiPriority w:val="0"/>
    <w:pPr>
      <w:autoSpaceDE w:val="0"/>
      <w:autoSpaceDN w:val="0"/>
      <w:ind w:left="0" w:leftChars="0" w:firstLine="200" w:firstLineChars="200"/>
    </w:pPr>
    <w:rPr>
      <w:rFonts w:ascii="Times New Roman" w:hAnsi="Times New Roman"/>
      <w:color w:val="000000"/>
      <w:kern w:val="0"/>
      <w:szCs w:val="24"/>
      <w:lang w:val="zh-CN"/>
    </w:rPr>
  </w:style>
  <w:style w:type="paragraph" w:customStyle="1" w:styleId="27">
    <w:name w:val="样式 正文缩进正文缩进2正文缩进 Char Char正文缩进 Char Char Char Char正文缩进 Char ..."/>
    <w:basedOn w:val="2"/>
    <w:qFormat/>
    <w:uiPriority w:val="0"/>
    <w:pPr>
      <w:spacing w:line="240" w:lineRule="auto"/>
      <w:ind w:firstLine="0" w:firstLineChars="0"/>
    </w:pPr>
    <w:rPr>
      <w:rFonts w:ascii="Times New Roman" w:hAnsi="Times New Roman" w:eastAsia="宋体" w:cs="Times New Roman"/>
      <w:w w:val="80"/>
      <w:sz w:val="18"/>
      <w:szCs w:val="15"/>
    </w:rPr>
  </w:style>
  <w:style w:type="paragraph" w:customStyle="1" w:styleId="28">
    <w:name w:val="表头"/>
    <w:basedOn w:val="2"/>
    <w:next w:val="1"/>
    <w:link w:val="32"/>
    <w:qFormat/>
    <w:uiPriority w:val="0"/>
    <w:pPr>
      <w:ind w:firstLine="0" w:firstLineChars="0"/>
      <w:jc w:val="center"/>
    </w:pPr>
    <w:rPr>
      <w:b/>
      <w:kern w:val="0"/>
      <w:sz w:val="20"/>
      <w:szCs w:val="22"/>
    </w:rPr>
  </w:style>
  <w:style w:type="paragraph" w:customStyle="1" w:styleId="29">
    <w:name w:val="Table Paragraph"/>
    <w:basedOn w:val="1"/>
    <w:qFormat/>
    <w:uiPriority w:val="1"/>
    <w:pPr>
      <w:jc w:val="center"/>
    </w:pPr>
    <w:rPr>
      <w:rFonts w:ascii="Times New Roman" w:hAnsi="Times New Roman" w:eastAsia="Times New Roman" w:cs="Times New Roman"/>
      <w:lang w:val="zh-CN" w:eastAsia="zh-CN" w:bidi="zh-CN"/>
    </w:rPr>
  </w:style>
  <w:style w:type="paragraph" w:styleId="30">
    <w:name w:val="List Paragraph"/>
    <w:basedOn w:val="1"/>
    <w:qFormat/>
    <w:uiPriority w:val="1"/>
    <w:pPr>
      <w:spacing w:before="2"/>
      <w:ind w:left="1307" w:hanging="602"/>
    </w:pPr>
    <w:rPr>
      <w:rFonts w:ascii="宋体" w:hAnsi="宋体" w:eastAsia="宋体" w:cs="宋体"/>
      <w:lang w:val="zh-CN" w:eastAsia="zh-CN" w:bidi="zh-CN"/>
    </w:rPr>
  </w:style>
  <w:style w:type="paragraph" w:customStyle="1" w:styleId="31">
    <w:name w:val="Other|1"/>
    <w:basedOn w:val="1"/>
    <w:qFormat/>
    <w:uiPriority w:val="0"/>
    <w:pPr>
      <w:spacing w:after="30" w:line="346" w:lineRule="auto"/>
    </w:pPr>
    <w:rPr>
      <w:rFonts w:ascii="宋体" w:hAnsi="宋体" w:eastAsia="宋体" w:cs="宋体"/>
      <w:sz w:val="20"/>
      <w:szCs w:val="20"/>
      <w:lang w:val="zh-TW" w:eastAsia="zh-TW" w:bidi="zh-TW"/>
    </w:rPr>
  </w:style>
  <w:style w:type="character" w:customStyle="1" w:styleId="32">
    <w:name w:val="表头 Char1"/>
    <w:link w:val="28"/>
    <w:qFormat/>
    <w:uiPriority w:val="0"/>
    <w:rPr>
      <w:b/>
      <w:kern w:val="0"/>
      <w:sz w:val="20"/>
      <w:szCs w:val="22"/>
    </w:rPr>
  </w:style>
  <w:style w:type="paragraph" w:customStyle="1" w:styleId="33">
    <w:name w:val="小标题"/>
    <w:basedOn w:val="34"/>
    <w:qFormat/>
    <w:uiPriority w:val="0"/>
    <w:pPr>
      <w:spacing w:line="480" w:lineRule="exact"/>
      <w:ind w:firstLine="0" w:firstLineChars="0"/>
      <w:jc w:val="left"/>
    </w:pPr>
    <w:rPr>
      <w:b/>
      <w:color w:val="000000"/>
    </w:rPr>
  </w:style>
  <w:style w:type="paragraph" w:customStyle="1" w:styleId="34">
    <w:name w:val="列表段落1"/>
    <w:basedOn w:val="1"/>
    <w:qFormat/>
    <w:uiPriority w:val="34"/>
    <w:pPr>
      <w:ind w:firstLine="420"/>
    </w:pPr>
  </w:style>
  <w:style w:type="paragraph" w:customStyle="1" w:styleId="35">
    <w:name w:val="【正文】"/>
    <w:basedOn w:val="1"/>
    <w:qFormat/>
    <w:uiPriority w:val="0"/>
    <w:pPr>
      <w:spacing w:line="480" w:lineRule="exact"/>
      <w:ind w:firstLine="200"/>
    </w:pPr>
    <w:rPr>
      <w:szCs w:val="20"/>
    </w:rPr>
  </w:style>
  <w:style w:type="paragraph" w:customStyle="1" w:styleId="36">
    <w:name w:val="L-正文+小四"/>
    <w:basedOn w:val="1"/>
    <w:qFormat/>
    <w:uiPriority w:val="0"/>
  </w:style>
  <w:style w:type="table" w:customStyle="1" w:styleId="37">
    <w:name w:val="Table Normal"/>
    <w:semiHidden/>
    <w:unhideWhenUsed/>
    <w:qFormat/>
    <w:uiPriority w:val="0"/>
    <w:tblPr>
      <w:tblCellMar>
        <w:top w:w="0" w:type="dxa"/>
        <w:left w:w="0" w:type="dxa"/>
        <w:bottom w:w="0" w:type="dxa"/>
        <w:right w:w="0" w:type="dxa"/>
      </w:tblCellMar>
    </w:tblPr>
  </w:style>
  <w:style w:type="paragraph" w:customStyle="1" w:styleId="38">
    <w:name w:val="A样式 小四 行距: 1.5 倍行距 首行缩进:  2 字符"/>
    <w:basedOn w:val="1"/>
    <w:qFormat/>
    <w:uiPriority w:val="0"/>
    <w:pPr>
      <w:spacing w:line="360" w:lineRule="auto"/>
      <w:ind w:firstLine="480" w:firstLineChars="200"/>
    </w:pPr>
    <w:rPr>
      <w:rFonts w:ascii="Calibri" w:hAnsi="Calibri" w:eastAsia="仿宋" w:cs="宋体"/>
    </w:rPr>
  </w:style>
  <w:style w:type="paragraph" w:customStyle="1" w:styleId="39">
    <w:name w:val="报告表样式"/>
    <w:basedOn w:val="1"/>
    <w:qFormat/>
    <w:uiPriority w:val="0"/>
    <w:pPr>
      <w:adjustRightInd w:val="0"/>
      <w:snapToGrid w:val="0"/>
      <w:spacing w:line="360" w:lineRule="auto"/>
      <w:ind w:firstLine="200" w:firstLineChars="200"/>
    </w:pPr>
    <w:rPr>
      <w:sz w:val="28"/>
      <w:szCs w:val="28"/>
    </w:rPr>
  </w:style>
  <w:style w:type="paragraph" w:customStyle="1" w:styleId="40">
    <w:name w:val="正文1"/>
    <w:qFormat/>
    <w:uiPriority w:val="0"/>
    <w:pPr>
      <w:widowControl w:val="0"/>
      <w:adjustRightInd w:val="0"/>
      <w:spacing w:line="315" w:lineRule="atLeast"/>
      <w:jc w:val="both"/>
      <w:textAlignment w:val="baseline"/>
    </w:pPr>
    <w:rPr>
      <w:rFonts w:ascii="宋体" w:hAnsi="Times New Roman" w:eastAsia="宋体" w:cs="Times New Roman"/>
      <w:sz w:val="24"/>
      <w:lang w:val="en-US" w:eastAsia="zh-CN" w:bidi="ar-SA"/>
    </w:rPr>
  </w:style>
  <w:style w:type="character" w:customStyle="1" w:styleId="41">
    <w:name w:val="fontstyle11"/>
    <w:qFormat/>
    <w:uiPriority w:val="0"/>
    <w:rPr>
      <w:rFonts w:hint="eastAsia" w:ascii="宋体" w:hAnsi="宋体" w:eastAsia="宋体"/>
      <w:color w:val="000000"/>
      <w:sz w:val="24"/>
      <w:szCs w:val="24"/>
    </w:rPr>
  </w:style>
  <w:style w:type="paragraph" w:customStyle="1" w:styleId="42">
    <w:name w:val="Fließtext"/>
    <w:basedOn w:val="1"/>
    <w:qFormat/>
    <w:uiPriority w:val="0"/>
    <w:pPr>
      <w:overflowPunct w:val="0"/>
      <w:autoSpaceDE w:val="0"/>
      <w:autoSpaceDN w:val="0"/>
      <w:adjustRightInd w:val="0"/>
      <w:textAlignment w:val="baseline"/>
    </w:pPr>
    <w:rPr>
      <w:kern w:val="28"/>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jpeg"/><Relationship Id="rId7" Type="http://schemas.openxmlformats.org/officeDocument/2006/relationships/theme" Target="theme/theme1.xml"/><Relationship Id="rId69" Type="http://schemas.openxmlformats.org/officeDocument/2006/relationships/fontTable" Target="fontTable.xml"/><Relationship Id="rId68" Type="http://schemas.openxmlformats.org/officeDocument/2006/relationships/numbering" Target="numbering.xml"/><Relationship Id="rId67" Type="http://schemas.openxmlformats.org/officeDocument/2006/relationships/customXml" Target="../customXml/item1.xml"/><Relationship Id="rId66" Type="http://schemas.openxmlformats.org/officeDocument/2006/relationships/image" Target="media/image50.png"/><Relationship Id="rId65" Type="http://schemas.openxmlformats.org/officeDocument/2006/relationships/image" Target="media/image49.png"/><Relationship Id="rId64" Type="http://schemas.openxmlformats.org/officeDocument/2006/relationships/image" Target="media/image48.png"/><Relationship Id="rId63" Type="http://schemas.openxmlformats.org/officeDocument/2006/relationships/image" Target="media/image47.png"/><Relationship Id="rId62" Type="http://schemas.openxmlformats.org/officeDocument/2006/relationships/image" Target="media/image46.png"/><Relationship Id="rId61" Type="http://schemas.openxmlformats.org/officeDocument/2006/relationships/image" Target="media/image45.png"/><Relationship Id="rId60" Type="http://schemas.openxmlformats.org/officeDocument/2006/relationships/image" Target="media/image44.png"/><Relationship Id="rId6" Type="http://schemas.openxmlformats.org/officeDocument/2006/relationships/footer" Target="footer4.xml"/><Relationship Id="rId59" Type="http://schemas.openxmlformats.org/officeDocument/2006/relationships/image" Target="media/image43.png"/><Relationship Id="rId58" Type="http://schemas.openxmlformats.org/officeDocument/2006/relationships/image" Target="media/image42.png"/><Relationship Id="rId57" Type="http://schemas.openxmlformats.org/officeDocument/2006/relationships/image" Target="media/image41.png"/><Relationship Id="rId56" Type="http://schemas.openxmlformats.org/officeDocument/2006/relationships/image" Target="media/image40.png"/><Relationship Id="rId55" Type="http://schemas.openxmlformats.org/officeDocument/2006/relationships/image" Target="media/image39.png"/><Relationship Id="rId54" Type="http://schemas.openxmlformats.org/officeDocument/2006/relationships/image" Target="media/image38.png"/><Relationship Id="rId53" Type="http://schemas.openxmlformats.org/officeDocument/2006/relationships/image" Target="media/image37.png"/><Relationship Id="rId52"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image" Target="media/image34.png"/><Relationship Id="rId5" Type="http://schemas.openxmlformats.org/officeDocument/2006/relationships/footer" Target="footer3.xml"/><Relationship Id="rId49" Type="http://schemas.openxmlformats.org/officeDocument/2006/relationships/image" Target="media/image33.png"/><Relationship Id="rId48" Type="http://schemas.openxmlformats.org/officeDocument/2006/relationships/image" Target="media/image32.png"/><Relationship Id="rId47" Type="http://schemas.openxmlformats.org/officeDocument/2006/relationships/image" Target="media/image31.png"/><Relationship Id="rId46" Type="http://schemas.openxmlformats.org/officeDocument/2006/relationships/image" Target="media/image30.png"/><Relationship Id="rId45" Type="http://schemas.openxmlformats.org/officeDocument/2006/relationships/image" Target="media/image29.png"/><Relationship Id="rId44" Type="http://schemas.openxmlformats.org/officeDocument/2006/relationships/image" Target="media/image28.png"/><Relationship Id="rId43" Type="http://schemas.openxmlformats.org/officeDocument/2006/relationships/image" Target="media/image27.png"/><Relationship Id="rId42" Type="http://schemas.openxmlformats.org/officeDocument/2006/relationships/image" Target="media/image26.png"/><Relationship Id="rId41" Type="http://schemas.openxmlformats.org/officeDocument/2006/relationships/image" Target="media/image25.png"/><Relationship Id="rId40" Type="http://schemas.openxmlformats.org/officeDocument/2006/relationships/image" Target="media/image24.png"/><Relationship Id="rId4" Type="http://schemas.openxmlformats.org/officeDocument/2006/relationships/footer" Target="footer2.xml"/><Relationship Id="rId39" Type="http://schemas.openxmlformats.org/officeDocument/2006/relationships/image" Target="media/image23.png"/><Relationship Id="rId38" Type="http://schemas.openxmlformats.org/officeDocument/2006/relationships/image" Target="media/image22.png"/><Relationship Id="rId37" Type="http://schemas.openxmlformats.org/officeDocument/2006/relationships/image" Target="media/image21.png"/><Relationship Id="rId36" Type="http://schemas.openxmlformats.org/officeDocument/2006/relationships/image" Target="media/image20.jpeg"/><Relationship Id="rId35" Type="http://schemas.openxmlformats.org/officeDocument/2006/relationships/image" Target="media/image19.png"/><Relationship Id="rId34" Type="http://schemas.openxmlformats.org/officeDocument/2006/relationships/image" Target="media/image18.png"/><Relationship Id="rId33" Type="http://schemas.openxmlformats.org/officeDocument/2006/relationships/image" Target="media/image17.png"/><Relationship Id="rId32" Type="http://schemas.openxmlformats.org/officeDocument/2006/relationships/image" Target="media/image16.png"/><Relationship Id="rId31" Type="http://schemas.openxmlformats.org/officeDocument/2006/relationships/image" Target="media/image15.png"/><Relationship Id="rId30" Type="http://schemas.openxmlformats.org/officeDocument/2006/relationships/image" Target="media/image14.wmf"/><Relationship Id="rId3" Type="http://schemas.openxmlformats.org/officeDocument/2006/relationships/footer" Target="footer1.xml"/><Relationship Id="rId29" Type="http://schemas.openxmlformats.org/officeDocument/2006/relationships/oleObject" Target="embeddings/oleObject9.bin"/><Relationship Id="rId28" Type="http://schemas.openxmlformats.org/officeDocument/2006/relationships/image" Target="media/image13.wmf"/><Relationship Id="rId27" Type="http://schemas.openxmlformats.org/officeDocument/2006/relationships/oleObject" Target="embeddings/oleObject8.bin"/><Relationship Id="rId26" Type="http://schemas.openxmlformats.org/officeDocument/2006/relationships/image" Target="media/image12.wmf"/><Relationship Id="rId25" Type="http://schemas.openxmlformats.org/officeDocument/2006/relationships/oleObject" Target="embeddings/oleObject7.bin"/><Relationship Id="rId24" Type="http://schemas.openxmlformats.org/officeDocument/2006/relationships/image" Target="media/image11.wmf"/><Relationship Id="rId23" Type="http://schemas.openxmlformats.org/officeDocument/2006/relationships/oleObject" Target="embeddings/oleObject6.bin"/><Relationship Id="rId22" Type="http://schemas.openxmlformats.org/officeDocument/2006/relationships/image" Target="media/image10.wmf"/><Relationship Id="rId21" Type="http://schemas.openxmlformats.org/officeDocument/2006/relationships/oleObject" Target="embeddings/oleObject5.bin"/><Relationship Id="rId20" Type="http://schemas.openxmlformats.org/officeDocument/2006/relationships/image" Target="media/image9.wmf"/><Relationship Id="rId2" Type="http://schemas.openxmlformats.org/officeDocument/2006/relationships/settings" Target="settings.xml"/><Relationship Id="rId19" Type="http://schemas.openxmlformats.org/officeDocument/2006/relationships/oleObject" Target="embeddings/oleObject4.bin"/><Relationship Id="rId18" Type="http://schemas.openxmlformats.org/officeDocument/2006/relationships/image" Target="media/image8.wmf"/><Relationship Id="rId17" Type="http://schemas.openxmlformats.org/officeDocument/2006/relationships/oleObject" Target="embeddings/oleObject3.bin"/><Relationship Id="rId16" Type="http://schemas.openxmlformats.org/officeDocument/2006/relationships/image" Target="media/image7.png"/><Relationship Id="rId15" Type="http://schemas.openxmlformats.org/officeDocument/2006/relationships/image" Target="media/image6.emf"/><Relationship Id="rId14" Type="http://schemas.openxmlformats.org/officeDocument/2006/relationships/oleObject" Target="embeddings/oleObject2.bin"/><Relationship Id="rId13" Type="http://schemas.openxmlformats.org/officeDocument/2006/relationships/image" Target="media/image5.emf"/><Relationship Id="rId12" Type="http://schemas.openxmlformats.org/officeDocument/2006/relationships/oleObject" Target="embeddings/oleObject1.bin"/><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84</Pages>
  <Words>22272</Words>
  <Characters>26152</Characters>
  <Lines>0</Lines>
  <Paragraphs>0</Paragraphs>
  <TotalTime>7</TotalTime>
  <ScaleCrop>false</ScaleCrop>
  <LinksUpToDate>false</LinksUpToDate>
  <CharactersWithSpaces>26251</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Administrator</dc:creator>
  <cp:lastModifiedBy>Admin</cp:lastModifiedBy>
  <cp:lastPrinted>2022-07-27T01:42:00Z</cp:lastPrinted>
  <dcterms:modified xsi:type="dcterms:W3CDTF">2024-12-19T08:31:56Z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y fmtid="{D5CDD505-2E9C-101B-9397-08002B2CF9AE}" pid="3" name="ICV">
    <vt:lpwstr>A14CD659219F4A578627E042CA508E7A</vt:lpwstr>
  </property>
</Properties>
</file>