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sz w:val="24"/>
          <w:szCs w:val="24"/>
          <w:lang w:eastAsia="zh-CN"/>
        </w:rPr>
      </w:pPr>
      <w:bookmarkStart w:id="2" w:name="_GoBack"/>
      <w:bookmarkEnd w:id="2"/>
      <w:r>
        <w:rPr>
          <w:rFonts w:hint="eastAsia" w:asciiTheme="minorEastAsia" w:hAnsiTheme="minorEastAsia" w:eastAsiaTheme="minorEastAsia" w:cstheme="minorEastAsia"/>
          <w:b/>
          <w:bCs/>
          <w:color w:val="000000"/>
          <w:sz w:val="24"/>
          <w:szCs w:val="24"/>
          <w:lang w:eastAsia="zh-CN"/>
        </w:rPr>
        <w:t>巴彦淖尔市生态环境局乌拉特前旗分局</w:t>
      </w:r>
    </w:p>
    <w:p>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sz w:val="24"/>
          <w:szCs w:val="24"/>
          <w:lang w:eastAsia="zh-CN"/>
        </w:rPr>
        <w:t>关</w:t>
      </w:r>
      <w:r>
        <w:rPr>
          <w:rFonts w:hint="eastAsia" w:asciiTheme="minorEastAsia" w:hAnsiTheme="minorEastAsia" w:eastAsiaTheme="minorEastAsia" w:cstheme="minorEastAsia"/>
          <w:b/>
          <w:bCs/>
          <w:color w:val="000000"/>
          <w:kern w:val="0"/>
          <w:sz w:val="24"/>
          <w:szCs w:val="24"/>
          <w:lang w:eastAsia="zh-CN"/>
        </w:rPr>
        <w:t>于《</w:t>
      </w:r>
      <w:r>
        <w:rPr>
          <w:rFonts w:hint="default" w:asciiTheme="minorEastAsia" w:hAnsiTheme="minorEastAsia" w:eastAsiaTheme="minorEastAsia" w:cstheme="minorEastAsia"/>
          <w:b/>
          <w:bCs/>
          <w:color w:val="000000"/>
          <w:kern w:val="0"/>
          <w:sz w:val="24"/>
          <w:szCs w:val="24"/>
          <w:lang w:eastAsia="zh-CN"/>
        </w:rPr>
        <w:t>内蒙古涌鑫新材料有限公司年产15000吨高性能稀土功能材料智能化升级扩建项目</w:t>
      </w:r>
      <w:r>
        <w:rPr>
          <w:rFonts w:hint="eastAsia" w:asciiTheme="minorEastAsia" w:hAnsiTheme="minorEastAsia" w:eastAsiaTheme="minorEastAsia" w:cstheme="minorEastAsia"/>
          <w:b/>
          <w:bCs/>
          <w:color w:val="000000"/>
          <w:kern w:val="0"/>
          <w:sz w:val="24"/>
          <w:szCs w:val="24"/>
        </w:rPr>
        <w:t>环境影响报告</w:t>
      </w:r>
      <w:r>
        <w:rPr>
          <w:rFonts w:hint="eastAsia" w:asciiTheme="minorEastAsia" w:hAnsiTheme="minorEastAsia" w:eastAsiaTheme="minorEastAsia" w:cstheme="minorEastAsia"/>
          <w:b/>
          <w:bCs/>
          <w:color w:val="000000"/>
          <w:kern w:val="0"/>
          <w:sz w:val="24"/>
          <w:szCs w:val="24"/>
          <w:lang w:eastAsia="zh-CN"/>
        </w:rPr>
        <w:t>表</w:t>
      </w:r>
      <w:r>
        <w:rPr>
          <w:rFonts w:hint="eastAsia" w:asciiTheme="minorEastAsia" w:hAnsiTheme="minorEastAsia" w:eastAsiaTheme="minorEastAsia" w:cstheme="minorEastAsia"/>
          <w:b/>
          <w:bCs/>
          <w:color w:val="000000"/>
          <w:sz w:val="24"/>
          <w:szCs w:val="24"/>
          <w:lang w:eastAsia="zh-CN"/>
        </w:rPr>
        <w:t>》的</w:t>
      </w:r>
      <w:r>
        <w:rPr>
          <w:rFonts w:hint="eastAsia" w:asciiTheme="minorEastAsia" w:hAnsiTheme="minorEastAsia" w:eastAsiaTheme="minorEastAsia" w:cstheme="minorEastAsia"/>
          <w:b/>
          <w:bCs/>
          <w:color w:val="000000"/>
          <w:kern w:val="0"/>
          <w:sz w:val="24"/>
          <w:szCs w:val="24"/>
        </w:rPr>
        <w:t>审批</w:t>
      </w:r>
      <w:r>
        <w:rPr>
          <w:rFonts w:hint="eastAsia" w:asciiTheme="minorEastAsia" w:hAnsiTheme="minorEastAsia" w:eastAsiaTheme="minorEastAsia" w:cstheme="minorEastAsia"/>
          <w:b/>
          <w:bCs/>
          <w:color w:val="000000"/>
          <w:kern w:val="0"/>
          <w:sz w:val="24"/>
          <w:szCs w:val="24"/>
          <w:lang w:eastAsia="zh-CN"/>
        </w:rPr>
        <w:t>意</w:t>
      </w:r>
      <w:r>
        <w:rPr>
          <w:rFonts w:hint="eastAsia" w:asciiTheme="minorEastAsia" w:hAnsiTheme="minorEastAsia" w:eastAsiaTheme="minorEastAsia" w:cstheme="minorEastAsia"/>
          <w:b/>
          <w:bCs/>
          <w:color w:val="000000"/>
          <w:kern w:val="0"/>
          <w:sz w:val="24"/>
          <w:szCs w:val="24"/>
        </w:rPr>
        <w:t>见</w:t>
      </w:r>
    </w:p>
    <w:p>
      <w:pPr>
        <w:spacing w:line="360" w:lineRule="auto"/>
        <w:ind w:firstLine="3092" w:firstLineChars="1100"/>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乌前环</w:t>
      </w:r>
      <w:r>
        <w:rPr>
          <w:rFonts w:hint="eastAsia" w:ascii="仿宋" w:hAnsi="仿宋" w:eastAsia="仿宋" w:cs="仿宋"/>
          <w:b/>
          <w:bCs/>
          <w:color w:val="000000"/>
          <w:kern w:val="0"/>
          <w:sz w:val="28"/>
          <w:szCs w:val="28"/>
          <w:lang w:eastAsia="zh-CN"/>
        </w:rPr>
        <w:t>表</w:t>
      </w:r>
      <w:r>
        <w:rPr>
          <w:rFonts w:hint="eastAsia" w:ascii="仿宋" w:hAnsi="仿宋" w:eastAsia="仿宋" w:cs="仿宋"/>
          <w:b/>
          <w:bCs/>
          <w:color w:val="000000"/>
          <w:kern w:val="0"/>
          <w:sz w:val="28"/>
          <w:szCs w:val="28"/>
        </w:rPr>
        <w:t>审[202</w:t>
      </w:r>
      <w:r>
        <w:rPr>
          <w:rFonts w:hint="eastAsia" w:ascii="仿宋" w:hAnsi="仿宋" w:eastAsia="仿宋" w:cs="仿宋"/>
          <w:b/>
          <w:bCs/>
          <w:color w:val="000000"/>
          <w:kern w:val="0"/>
          <w:sz w:val="28"/>
          <w:szCs w:val="28"/>
          <w:lang w:val="en-US" w:eastAsia="zh-CN"/>
        </w:rPr>
        <w:t>5</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12</w:t>
      </w:r>
      <w:r>
        <w:rPr>
          <w:rFonts w:hint="eastAsia" w:ascii="仿宋" w:hAnsi="仿宋" w:eastAsia="仿宋" w:cs="仿宋"/>
          <w:b/>
          <w:bCs/>
          <w:color w:val="000000"/>
          <w:kern w:val="0"/>
          <w:sz w:val="28"/>
          <w:szCs w:val="28"/>
        </w:rPr>
        <w:t>号</w:t>
      </w:r>
    </w:p>
    <w:p>
      <w:pPr>
        <w:adjustRightInd w:val="0"/>
        <w:snapToGrid w:val="0"/>
        <w:spacing w:line="360" w:lineRule="auto"/>
        <w:rPr>
          <w:rFonts w:hint="eastAsia" w:ascii="仿宋" w:hAnsi="仿宋" w:eastAsia="仿宋" w:cs="仿宋"/>
          <w:b w:val="0"/>
          <w:bCs w:val="0"/>
          <w:kern w:val="0"/>
          <w:sz w:val="28"/>
          <w:szCs w:val="28"/>
        </w:rPr>
      </w:pPr>
      <w:r>
        <w:rPr>
          <w:rFonts w:hint="default" w:ascii="仿宋" w:hAnsi="仿宋" w:eastAsia="仿宋" w:cs="仿宋"/>
          <w:b w:val="0"/>
          <w:bCs w:val="0"/>
          <w:kern w:val="0"/>
          <w:sz w:val="28"/>
          <w:szCs w:val="28"/>
          <w:lang w:eastAsia="zh-CN"/>
        </w:rPr>
        <w:t>内蒙古涌鑫新材料有限公司</w:t>
      </w:r>
      <w:r>
        <w:rPr>
          <w:rFonts w:hint="eastAsia" w:ascii="仿宋" w:hAnsi="仿宋" w:eastAsia="仿宋" w:cs="仿宋"/>
          <w:b w:val="0"/>
          <w:bCs w:val="0"/>
          <w:kern w:val="0"/>
          <w:sz w:val="28"/>
          <w:szCs w:val="28"/>
        </w:rPr>
        <w:t>：</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根据《巴彦淖尔市生态环境局关于调整巴彦淖尔市生态环境局审批环境影响评价文件权限的通知》（巴环发[2025]26号），</w:t>
      </w:r>
      <w:r>
        <w:rPr>
          <w:rFonts w:hint="eastAsia" w:ascii="仿宋" w:hAnsi="仿宋" w:eastAsia="仿宋" w:cs="仿宋"/>
          <w:b w:val="0"/>
          <w:bCs w:val="0"/>
          <w:kern w:val="0"/>
          <w:sz w:val="28"/>
          <w:szCs w:val="28"/>
        </w:rPr>
        <w:t>你公司报送的</w:t>
      </w:r>
      <w:r>
        <w:rPr>
          <w:rFonts w:hint="eastAsia" w:ascii="仿宋" w:hAnsi="仿宋" w:eastAsia="仿宋" w:cs="仿宋"/>
          <w:b w:val="0"/>
          <w:bCs w:val="0"/>
          <w:kern w:val="0"/>
          <w:sz w:val="28"/>
          <w:szCs w:val="28"/>
          <w:lang w:eastAsia="zh-CN"/>
        </w:rPr>
        <w:t>由内蒙古百霖环保科技有限公司编制的《</w:t>
      </w:r>
      <w:r>
        <w:rPr>
          <w:rFonts w:hint="default" w:ascii="仿宋" w:hAnsi="仿宋" w:eastAsia="仿宋" w:cs="仿宋"/>
          <w:b w:val="0"/>
          <w:bCs w:val="0"/>
          <w:kern w:val="0"/>
          <w:sz w:val="28"/>
          <w:szCs w:val="28"/>
          <w:lang w:eastAsia="zh-CN"/>
        </w:rPr>
        <w:t>内蒙古涌鑫新材料有限公司年产15000吨高性能稀土功能材料智能化升级扩建项目</w:t>
      </w:r>
      <w:r>
        <w:rPr>
          <w:rFonts w:hint="eastAsia" w:ascii="仿宋" w:hAnsi="仿宋" w:eastAsia="仿宋" w:cs="仿宋"/>
          <w:b w:val="0"/>
          <w:bCs w:val="0"/>
          <w:kern w:val="0"/>
          <w:sz w:val="28"/>
          <w:szCs w:val="28"/>
          <w:lang w:eastAsia="zh-CN"/>
        </w:rPr>
        <w:t>环境影</w:t>
      </w:r>
      <w:r>
        <w:rPr>
          <w:rFonts w:hint="eastAsia" w:ascii="仿宋" w:hAnsi="仿宋" w:eastAsia="仿宋" w:cs="仿宋"/>
          <w:b w:val="0"/>
          <w:bCs w:val="0"/>
          <w:kern w:val="0"/>
          <w:sz w:val="28"/>
          <w:szCs w:val="28"/>
        </w:rPr>
        <w:t>响报告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》（以下简称《报告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巴彦淖尔市生态环境局委托</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kern w:val="0"/>
          <w:sz w:val="28"/>
          <w:szCs w:val="28"/>
          <w:lang w:val="en-US" w:eastAsia="zh-CN"/>
        </w:rPr>
        <w:t xml:space="preserve">： </w:t>
      </w:r>
    </w:p>
    <w:p>
      <w:pPr>
        <w:numPr>
          <w:ilvl w:val="0"/>
          <w:numId w:val="1"/>
        </w:num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default" w:ascii="仿宋" w:hAnsi="仿宋" w:eastAsia="仿宋" w:cs="仿宋"/>
          <w:b w:val="0"/>
          <w:bCs w:val="0"/>
          <w:kern w:val="0"/>
          <w:sz w:val="28"/>
          <w:szCs w:val="28"/>
          <w:lang w:eastAsia="zh-CN"/>
        </w:rPr>
        <w:t>内蒙古涌鑫新材料有限公司年产15000吨高性能稀土功能材料智能化升级扩建项目</w:t>
      </w:r>
      <w:r>
        <w:rPr>
          <w:rFonts w:hint="eastAsia" w:ascii="仿宋" w:hAnsi="仿宋" w:eastAsia="仿宋" w:cs="仿宋"/>
          <w:b w:val="0"/>
          <w:bCs w:val="0"/>
          <w:kern w:val="0"/>
          <w:sz w:val="28"/>
          <w:szCs w:val="28"/>
          <w:lang w:val="en-US" w:eastAsia="zh-CN"/>
        </w:rPr>
        <w:t>位于</w:t>
      </w:r>
      <w:bookmarkStart w:id="0" w:name="_Hlk115341644"/>
      <w:r>
        <w:rPr>
          <w:rFonts w:hint="default" w:ascii="仿宋" w:hAnsi="仿宋" w:eastAsia="仿宋" w:cs="仿宋"/>
          <w:b w:val="0"/>
          <w:bCs w:val="0"/>
          <w:kern w:val="0"/>
          <w:sz w:val="28"/>
          <w:szCs w:val="28"/>
          <w:lang w:val="en-US" w:eastAsia="zh-CN"/>
        </w:rPr>
        <w:t>内蒙古自治区巴彦淖尔乌拉特前旗工业园区涌鑫公司院内，</w:t>
      </w:r>
      <w:bookmarkEnd w:id="0"/>
      <w:r>
        <w:rPr>
          <w:rFonts w:hint="eastAsia" w:ascii="仿宋" w:hAnsi="仿宋" w:eastAsia="仿宋" w:cs="仿宋"/>
          <w:b w:val="0"/>
          <w:bCs w:val="0"/>
          <w:kern w:val="0"/>
          <w:sz w:val="28"/>
          <w:szCs w:val="28"/>
        </w:rPr>
        <w:t>项目中心坐标:东经109°19′9.</w:t>
      </w:r>
      <w:r>
        <w:rPr>
          <w:rFonts w:hint="eastAsia" w:ascii="仿宋" w:hAnsi="仿宋" w:eastAsia="仿宋" w:cs="仿宋"/>
          <w:b w:val="0"/>
          <w:bCs w:val="0"/>
          <w:kern w:val="0"/>
          <w:sz w:val="28"/>
          <w:szCs w:val="28"/>
          <w:lang w:val="en-US" w:eastAsia="zh-CN"/>
        </w:rPr>
        <w:t>663</w:t>
      </w:r>
      <w:r>
        <w:rPr>
          <w:rFonts w:hint="eastAsia" w:ascii="仿宋" w:hAnsi="仿宋" w:eastAsia="仿宋" w:cs="仿宋"/>
          <w:b w:val="0"/>
          <w:bCs w:val="0"/>
          <w:kern w:val="0"/>
          <w:sz w:val="28"/>
          <w:szCs w:val="28"/>
        </w:rPr>
        <w:t>″，北纬40°36′</w:t>
      </w:r>
      <w:r>
        <w:rPr>
          <w:rFonts w:hint="eastAsia" w:ascii="仿宋" w:hAnsi="仿宋" w:eastAsia="仿宋" w:cs="仿宋"/>
          <w:b w:val="0"/>
          <w:bCs w:val="0"/>
          <w:kern w:val="0"/>
          <w:sz w:val="28"/>
          <w:szCs w:val="28"/>
          <w:lang w:val="en-US" w:eastAsia="zh-CN"/>
        </w:rPr>
        <w:t>5.345</w:t>
      </w:r>
      <w:r>
        <w:rPr>
          <w:rFonts w:hint="eastAsia" w:ascii="仿宋" w:hAnsi="仿宋" w:eastAsia="仿宋" w:cs="仿宋"/>
          <w:b w:val="0"/>
          <w:bCs w:val="0"/>
          <w:kern w:val="0"/>
          <w:sz w:val="28"/>
          <w:szCs w:val="28"/>
        </w:rPr>
        <w:t>″，本项目为</w:t>
      </w:r>
      <w:r>
        <w:rPr>
          <w:rFonts w:hint="eastAsia" w:ascii="仿宋" w:hAnsi="仿宋" w:eastAsia="仿宋" w:cs="仿宋"/>
          <w:b w:val="0"/>
          <w:bCs w:val="0"/>
          <w:kern w:val="0"/>
          <w:sz w:val="28"/>
          <w:szCs w:val="28"/>
          <w:lang w:eastAsia="zh-CN"/>
        </w:rPr>
        <w:t>扩</w:t>
      </w:r>
      <w:r>
        <w:rPr>
          <w:rFonts w:hint="eastAsia" w:ascii="仿宋" w:hAnsi="仿宋" w:eastAsia="仿宋" w:cs="仿宋"/>
          <w:b w:val="0"/>
          <w:bCs w:val="0"/>
          <w:kern w:val="0"/>
          <w:sz w:val="28"/>
          <w:szCs w:val="28"/>
        </w:rPr>
        <w:t>建</w:t>
      </w:r>
      <w:r>
        <w:rPr>
          <w:rFonts w:hint="eastAsia" w:ascii="仿宋" w:hAnsi="仿宋" w:eastAsia="仿宋" w:cs="仿宋"/>
          <w:b w:val="0"/>
          <w:bCs w:val="0"/>
          <w:kern w:val="0"/>
          <w:sz w:val="28"/>
          <w:szCs w:val="28"/>
          <w:lang w:eastAsia="zh-CN"/>
        </w:rPr>
        <w:t>，</w:t>
      </w:r>
      <w:bookmarkStart w:id="1" w:name="_Hlk62658214"/>
      <w:r>
        <w:rPr>
          <w:rFonts w:hint="default" w:ascii="仿宋" w:hAnsi="仿宋" w:eastAsia="仿宋" w:cs="仿宋"/>
          <w:b w:val="0"/>
          <w:bCs w:val="0"/>
          <w:kern w:val="0"/>
          <w:sz w:val="28"/>
          <w:szCs w:val="28"/>
          <w:lang w:val="en-US" w:eastAsia="zh-CN"/>
        </w:rPr>
        <w:t>厂区现有稀土抛光材料生产项目生产规模为年产3000吨高端稀土抛光材料；本项目新增15000吨/年高性能稀土功能材料，包括氧化铈抛光粉7000吨、氧化镧铈抛光粉6000吨，小粒度氧化镧抛光粉2000吨。扩建后全厂年产3000吨高端稀土抛光粉、氧化铈抛光粉7000吨、氧化镧铈抛光粉6000吨，小粒度氧化镧抛光粉2000吨，主要建设内容为新增2台天然气回转窑、1台余热烘干窑，在2#生产车间内新增1台天然气辊道窑、2台气流粉碎机、2台混料机以及配套的环保设施</w:t>
      </w:r>
      <w:r>
        <w:rPr>
          <w:rFonts w:hint="eastAsia" w:ascii="仿宋" w:hAnsi="仿宋" w:eastAsia="仿宋" w:cs="仿宋"/>
          <w:b w:val="0"/>
          <w:bCs w:val="0"/>
          <w:kern w:val="0"/>
          <w:sz w:val="28"/>
          <w:szCs w:val="28"/>
          <w:lang w:val="en-US" w:eastAsia="zh-CN"/>
        </w:rPr>
        <w:t>等；高端抛光材料生产车间内的2台气流粉碎机、2台筛分机、1台射流分级机、2台混料机以及配套的环保设备搬迁至2#生产车间。</w:t>
      </w:r>
    </w:p>
    <w:p>
      <w:pPr>
        <w:pStyle w:val="2"/>
        <w:numPr>
          <w:ilvl w:val="0"/>
          <w:numId w:val="0"/>
        </w:numPr>
        <w:rPr>
          <w:rFonts w:hint="default" w:ascii="仿宋" w:hAnsi="仿宋" w:eastAsia="仿宋" w:cs="仿宋"/>
          <w:b w:val="0"/>
          <w:bCs w:val="0"/>
          <w:kern w:val="0"/>
          <w:sz w:val="28"/>
          <w:szCs w:val="28"/>
          <w:lang w:val="en-US" w:eastAsia="zh-CN" w:bidi="ar-SA"/>
        </w:rPr>
      </w:pPr>
      <w:r>
        <w:rPr>
          <w:rFonts w:hint="eastAsia"/>
          <w:lang w:val="en-US" w:eastAsia="zh-CN"/>
        </w:rPr>
        <w:t>　　</w:t>
      </w:r>
      <w:r>
        <w:rPr>
          <w:rFonts w:hint="eastAsia" w:ascii="仿宋" w:hAnsi="仿宋" w:eastAsia="仿宋" w:cs="仿宋"/>
          <w:b w:val="0"/>
          <w:bCs w:val="0"/>
          <w:kern w:val="0"/>
          <w:sz w:val="28"/>
          <w:szCs w:val="28"/>
          <w:lang w:val="en-US" w:eastAsia="zh-CN" w:bidi="ar-SA"/>
        </w:rPr>
        <w:t>巴彦淖尔市生态环境局分别于2019年7月16日和2020年7月17日出具了《关于＜巴彦淖尔市农垦涌鑫还原铁有限公司年产3000吨高端稀土抛光材料项目环境影响报告表＞的批复》（巴环审表［2019]19号）和《关于〈巴彦淖尔市农垦涌鑫还原铁有限公司年产3000吨稀土抛光粉新增湿法合成工艺项目环境影响报告表〉的批复》《巴环审[2020]36号）；你公司于2021年1月18日组织完成年产3000吨稀土抛光材料及新增湿法合成工艺项目竣工环境保护自主验收。</w:t>
      </w:r>
    </w:p>
    <w:bookmarkEnd w:id="1"/>
    <w:p>
      <w:pPr>
        <w:adjustRightInd w:val="0"/>
        <w:snapToGrid w:val="0"/>
        <w:spacing w:line="360" w:lineRule="auto"/>
        <w:ind w:firstLine="560" w:firstLineChars="200"/>
        <w:jc w:val="both"/>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乌拉特前旗工业和信息化局</w:t>
      </w:r>
      <w:r>
        <w:rPr>
          <w:rFonts w:hint="eastAsia" w:ascii="仿宋" w:hAnsi="仿宋" w:eastAsia="仿宋" w:cs="仿宋"/>
          <w:b w:val="0"/>
          <w:bCs w:val="0"/>
          <w:kern w:val="0"/>
          <w:sz w:val="28"/>
          <w:szCs w:val="28"/>
          <w:lang w:eastAsia="zh-CN"/>
        </w:rPr>
        <w:t>对本项目予以</w:t>
      </w:r>
      <w:r>
        <w:rPr>
          <w:rFonts w:hint="eastAsia" w:ascii="仿宋" w:hAnsi="仿宋" w:eastAsia="仿宋" w:cs="仿宋"/>
          <w:b w:val="0"/>
          <w:bCs w:val="0"/>
          <w:kern w:val="0"/>
          <w:sz w:val="28"/>
          <w:szCs w:val="28"/>
          <w:lang w:val="en-US" w:eastAsia="zh-CN"/>
        </w:rPr>
        <w:t>备案（2506-150823-07-02-841692　2025年8月13日）</w:t>
      </w:r>
      <w:r>
        <w:rPr>
          <w:rFonts w:hint="eastAsia" w:ascii="仿宋" w:hAnsi="仿宋" w:eastAsia="仿宋" w:cs="仿宋"/>
          <w:b w:val="0"/>
          <w:bCs w:val="0"/>
          <w:kern w:val="0"/>
          <w:sz w:val="28"/>
          <w:szCs w:val="28"/>
          <w:lang w:eastAsia="zh-CN"/>
        </w:rPr>
        <w:t>。该项目建设符合巴彦淖尔市生态环境分区管控要求。</w:t>
      </w:r>
      <w:r>
        <w:rPr>
          <w:rFonts w:hint="eastAsia" w:ascii="仿宋" w:hAnsi="仿宋" w:eastAsia="仿宋" w:cs="仿宋"/>
          <w:b w:val="0"/>
          <w:bCs w:val="0"/>
          <w:kern w:val="0"/>
          <w:sz w:val="28"/>
          <w:szCs w:val="28"/>
          <w:lang w:val="en-US" w:eastAsia="zh-CN"/>
        </w:rPr>
        <w:t>根据乌拉特前旗人民政府出具的《关于内蒙古涌鑫新材料有限公司年产15000吨高性能稀土功能材料智能化升级扩建项目的相关说明》，该项目符合乌拉特前旗工业园区的产业定位和产业布局。</w:t>
      </w:r>
      <w:r>
        <w:rPr>
          <w:rFonts w:hint="eastAsia" w:ascii="仿宋" w:hAnsi="仿宋" w:eastAsia="仿宋" w:cs="仿宋"/>
          <w:b w:val="0"/>
          <w:bCs w:val="0"/>
          <w:kern w:val="0"/>
          <w:sz w:val="28"/>
          <w:szCs w:val="28"/>
        </w:rPr>
        <w:t>根据《报告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》结论，</w:t>
      </w:r>
      <w:r>
        <w:rPr>
          <w:rFonts w:hint="eastAsia" w:ascii="仿宋" w:hAnsi="仿宋" w:eastAsia="仿宋" w:cs="仿宋"/>
          <w:b w:val="0"/>
          <w:bCs w:val="0"/>
          <w:kern w:val="0"/>
          <w:sz w:val="28"/>
          <w:szCs w:val="28"/>
          <w:lang w:eastAsia="zh-CN"/>
        </w:rPr>
        <w:t>该项目</w:t>
      </w:r>
      <w:r>
        <w:rPr>
          <w:rFonts w:hint="eastAsia" w:ascii="仿宋" w:hAnsi="仿宋" w:eastAsia="仿宋" w:cs="仿宋"/>
          <w:b w:val="0"/>
          <w:bCs w:val="0"/>
          <w:kern w:val="0"/>
          <w:sz w:val="28"/>
          <w:szCs w:val="28"/>
        </w:rPr>
        <w:t>在</w:t>
      </w:r>
      <w:r>
        <w:rPr>
          <w:rFonts w:hint="eastAsia" w:ascii="仿宋" w:hAnsi="仿宋" w:eastAsia="仿宋" w:cs="仿宋"/>
          <w:b w:val="0"/>
          <w:bCs w:val="0"/>
          <w:kern w:val="0"/>
          <w:sz w:val="28"/>
          <w:szCs w:val="28"/>
          <w:lang w:eastAsia="zh-CN"/>
        </w:rPr>
        <w:t>全面</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val="en-US" w:eastAsia="zh-CN"/>
        </w:rPr>
        <w:t>环境保护对策措施</w:t>
      </w:r>
      <w:r>
        <w:rPr>
          <w:rFonts w:hint="eastAsia" w:ascii="仿宋" w:hAnsi="仿宋" w:eastAsia="仿宋" w:cs="仿宋"/>
          <w:b w:val="0"/>
          <w:bCs w:val="0"/>
          <w:kern w:val="0"/>
          <w:sz w:val="28"/>
          <w:szCs w:val="28"/>
        </w:rPr>
        <w:t>后</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项目建设</w:t>
      </w:r>
      <w:r>
        <w:rPr>
          <w:rFonts w:hint="eastAsia" w:ascii="仿宋" w:hAnsi="仿宋" w:eastAsia="仿宋" w:cs="仿宋"/>
          <w:b w:val="0"/>
          <w:bCs w:val="0"/>
          <w:kern w:val="0"/>
          <w:sz w:val="28"/>
          <w:szCs w:val="28"/>
          <w:lang w:eastAsia="zh-CN"/>
        </w:rPr>
        <w:t>对</w:t>
      </w:r>
      <w:r>
        <w:rPr>
          <w:rFonts w:hint="eastAsia" w:ascii="仿宋" w:hAnsi="仿宋" w:eastAsia="仿宋" w:cs="仿宋"/>
          <w:b w:val="0"/>
          <w:bCs w:val="0"/>
          <w:kern w:val="0"/>
          <w:sz w:val="28"/>
          <w:szCs w:val="28"/>
        </w:rPr>
        <w:t>环境</w:t>
      </w:r>
      <w:r>
        <w:rPr>
          <w:rFonts w:hint="eastAsia" w:ascii="仿宋" w:hAnsi="仿宋" w:eastAsia="仿宋" w:cs="仿宋"/>
          <w:b w:val="0"/>
          <w:bCs w:val="0"/>
          <w:kern w:val="0"/>
          <w:sz w:val="28"/>
          <w:szCs w:val="28"/>
          <w:lang w:eastAsia="zh-CN"/>
        </w:rPr>
        <w:t>的</w:t>
      </w:r>
      <w:r>
        <w:rPr>
          <w:rFonts w:hint="eastAsia" w:ascii="仿宋" w:hAnsi="仿宋" w:eastAsia="仿宋" w:cs="仿宋"/>
          <w:b w:val="0"/>
          <w:bCs w:val="0"/>
          <w:kern w:val="0"/>
          <w:sz w:val="28"/>
          <w:szCs w:val="28"/>
        </w:rPr>
        <w:t>不利影响能够得到</w:t>
      </w:r>
      <w:r>
        <w:rPr>
          <w:rFonts w:hint="eastAsia" w:ascii="仿宋" w:hAnsi="仿宋" w:eastAsia="仿宋" w:cs="仿宋"/>
          <w:b w:val="0"/>
          <w:bCs w:val="0"/>
          <w:kern w:val="0"/>
          <w:sz w:val="28"/>
          <w:szCs w:val="28"/>
          <w:lang w:eastAsia="zh-CN"/>
        </w:rPr>
        <w:t>一定的</w:t>
      </w:r>
      <w:r>
        <w:rPr>
          <w:rFonts w:hint="eastAsia" w:ascii="仿宋" w:hAnsi="仿宋" w:eastAsia="仿宋" w:cs="仿宋"/>
          <w:b w:val="0"/>
          <w:bCs w:val="0"/>
          <w:kern w:val="0"/>
          <w:sz w:val="28"/>
          <w:szCs w:val="28"/>
        </w:rPr>
        <w:t>缓解和控制</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从环保角度分析，我局原则同意</w:t>
      </w:r>
      <w:r>
        <w:rPr>
          <w:rFonts w:hint="eastAsia" w:ascii="仿宋" w:hAnsi="仿宋" w:eastAsia="仿宋" w:cs="仿宋"/>
          <w:b w:val="0"/>
          <w:bCs w:val="0"/>
          <w:kern w:val="0"/>
          <w:sz w:val="28"/>
          <w:szCs w:val="28"/>
          <w:lang w:eastAsia="zh-CN"/>
        </w:rPr>
        <w:t>该项目</w:t>
      </w:r>
      <w:r>
        <w:rPr>
          <w:rFonts w:hint="eastAsia" w:ascii="仿宋" w:hAnsi="仿宋" w:eastAsia="仿宋" w:cs="仿宋"/>
          <w:b w:val="0"/>
          <w:bCs w:val="0"/>
          <w:kern w:val="0"/>
          <w:sz w:val="28"/>
          <w:szCs w:val="28"/>
        </w:rPr>
        <w:t>按照《报告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》中所列的建设项目性质、规模、地点、生产工艺、环境保护对策措施</w:t>
      </w:r>
      <w:r>
        <w:rPr>
          <w:rFonts w:hint="eastAsia" w:ascii="仿宋" w:hAnsi="仿宋" w:eastAsia="仿宋" w:cs="仿宋"/>
          <w:b w:val="0"/>
          <w:bCs w:val="0"/>
          <w:kern w:val="0"/>
          <w:sz w:val="28"/>
          <w:szCs w:val="28"/>
          <w:lang w:eastAsia="zh-CN"/>
        </w:rPr>
        <w:t>和下述要求</w:t>
      </w:r>
      <w:r>
        <w:rPr>
          <w:rFonts w:hint="eastAsia" w:ascii="仿宋" w:hAnsi="仿宋" w:eastAsia="仿宋" w:cs="仿宋"/>
          <w:b w:val="0"/>
          <w:bCs w:val="0"/>
          <w:kern w:val="0"/>
          <w:sz w:val="28"/>
          <w:szCs w:val="28"/>
        </w:rPr>
        <w:t>进行建设。</w:t>
      </w:r>
      <w:r>
        <w:rPr>
          <w:rFonts w:hint="eastAsia" w:ascii="仿宋" w:hAnsi="仿宋" w:eastAsia="仿宋" w:cs="仿宋"/>
          <w:b w:val="0"/>
          <w:bCs w:val="0"/>
          <w:kern w:val="0"/>
          <w:sz w:val="28"/>
          <w:szCs w:val="28"/>
          <w:lang w:eastAsia="zh-CN"/>
        </w:rPr>
        <w:t>该项目建设必须严格执行国家相关法律法规和政策，</w:t>
      </w:r>
      <w:r>
        <w:rPr>
          <w:rFonts w:hint="eastAsia" w:ascii="仿宋" w:hAnsi="仿宋" w:eastAsia="仿宋" w:cs="仿宋"/>
          <w:b w:val="0"/>
          <w:bCs w:val="0"/>
          <w:kern w:val="0"/>
          <w:sz w:val="28"/>
          <w:szCs w:val="28"/>
          <w:lang w:val="en-US" w:eastAsia="zh-CN"/>
        </w:rPr>
        <w:t>采用先进适用的工艺技术和设备。</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该项目在施工过程中发现文物的，应当保护现场，立即报告当地文物保护部门，由文物保护部门依法依规进行处理。</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eastAsia="zh-CN"/>
        </w:rPr>
        <w:t>二、</w:t>
      </w:r>
      <w:r>
        <w:rPr>
          <w:rFonts w:hint="eastAsia" w:ascii="仿宋" w:hAnsi="仿宋" w:eastAsia="仿宋" w:cs="仿宋"/>
          <w:b w:val="0"/>
          <w:bCs w:val="0"/>
          <w:kern w:val="0"/>
          <w:sz w:val="28"/>
          <w:szCs w:val="28"/>
        </w:rPr>
        <w:t>项目</w:t>
      </w:r>
      <w:r>
        <w:rPr>
          <w:rFonts w:hint="eastAsia" w:ascii="仿宋" w:hAnsi="仿宋" w:eastAsia="仿宋" w:cs="仿宋"/>
          <w:b w:val="0"/>
          <w:bCs w:val="0"/>
          <w:kern w:val="0"/>
          <w:sz w:val="28"/>
          <w:szCs w:val="28"/>
          <w:lang w:eastAsia="zh-CN"/>
        </w:rPr>
        <w:t>在设计、</w:t>
      </w:r>
      <w:r>
        <w:rPr>
          <w:rFonts w:hint="eastAsia" w:ascii="仿宋" w:hAnsi="仿宋" w:eastAsia="仿宋" w:cs="仿宋"/>
          <w:b w:val="0"/>
          <w:bCs w:val="0"/>
          <w:kern w:val="0"/>
          <w:sz w:val="28"/>
          <w:szCs w:val="28"/>
        </w:rPr>
        <w:t>建设与运行</w:t>
      </w:r>
      <w:r>
        <w:rPr>
          <w:rFonts w:hint="eastAsia" w:ascii="仿宋" w:hAnsi="仿宋" w:eastAsia="仿宋" w:cs="仿宋"/>
          <w:b w:val="0"/>
          <w:bCs w:val="0"/>
          <w:kern w:val="0"/>
          <w:sz w:val="28"/>
          <w:szCs w:val="28"/>
          <w:lang w:eastAsia="zh-CN"/>
        </w:rPr>
        <w:t>过程中还</w:t>
      </w:r>
      <w:r>
        <w:rPr>
          <w:rFonts w:hint="eastAsia" w:ascii="仿宋" w:hAnsi="仿宋" w:eastAsia="仿宋" w:cs="仿宋"/>
          <w:b w:val="0"/>
          <w:bCs w:val="0"/>
          <w:kern w:val="0"/>
          <w:sz w:val="28"/>
          <w:szCs w:val="28"/>
        </w:rPr>
        <w:t>应做好以下工作：</w:t>
      </w:r>
    </w:p>
    <w:p>
      <w:pPr>
        <w:adjustRightInd w:val="0"/>
        <w:snapToGrid w:val="0"/>
        <w:spacing w:line="360" w:lineRule="auto"/>
        <w:ind w:firstLine="560" w:firstLineChars="200"/>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1</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eastAsia="zh-CN"/>
        </w:rPr>
        <w:t>施工</w:t>
      </w:r>
      <w:r>
        <w:rPr>
          <w:rFonts w:hint="eastAsia" w:ascii="仿宋" w:hAnsi="仿宋" w:eastAsia="仿宋" w:cs="仿宋"/>
          <w:b w:val="0"/>
          <w:bCs w:val="0"/>
          <w:kern w:val="0"/>
          <w:sz w:val="28"/>
          <w:szCs w:val="28"/>
        </w:rPr>
        <w:t>期的污染防治措施和生态保护措施</w:t>
      </w:r>
      <w:r>
        <w:rPr>
          <w:rFonts w:hint="eastAsia" w:ascii="仿宋" w:hAnsi="仿宋" w:eastAsia="仿宋" w:cs="仿宋"/>
          <w:b w:val="0"/>
          <w:bCs w:val="0"/>
          <w:kern w:val="0"/>
          <w:sz w:val="28"/>
          <w:szCs w:val="28"/>
          <w:lang w:eastAsia="zh-CN"/>
        </w:rPr>
        <w:t>，确保施工期各项污染物排放符合相关标准</w:t>
      </w:r>
      <w:r>
        <w:rPr>
          <w:rFonts w:hint="eastAsia" w:ascii="仿宋" w:hAnsi="仿宋" w:eastAsia="仿宋" w:cs="仿宋"/>
          <w:b w:val="0"/>
          <w:bCs w:val="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b w:val="0"/>
          <w:bCs w:val="0"/>
          <w:kern w:val="0"/>
          <w:sz w:val="28"/>
          <w:szCs w:val="28"/>
          <w:lang w:eastAsia="zh-CN"/>
        </w:rPr>
        <w:t>，施工期项目区无组织排放浓度达标。</w:t>
      </w:r>
      <w:r>
        <w:rPr>
          <w:rFonts w:hint="eastAsia" w:ascii="仿宋" w:hAnsi="仿宋" w:eastAsia="仿宋" w:cs="仿宋"/>
          <w:b w:val="0"/>
          <w:bCs w:val="0"/>
          <w:kern w:val="0"/>
          <w:sz w:val="28"/>
          <w:szCs w:val="28"/>
        </w:rPr>
        <w:t>施工场地建防渗沉淀池，施工废水经沉淀后回用。选用低噪声的施工机械，合理布置施工场地，施工噪声应满足《建筑施工</w:t>
      </w:r>
      <w:r>
        <w:rPr>
          <w:rFonts w:hint="eastAsia" w:ascii="仿宋" w:hAnsi="仿宋" w:eastAsia="仿宋" w:cs="仿宋"/>
          <w:b w:val="0"/>
          <w:bCs w:val="0"/>
          <w:kern w:val="0"/>
          <w:sz w:val="28"/>
          <w:szCs w:val="28"/>
          <w:lang w:eastAsia="zh-CN"/>
        </w:rPr>
        <w:t>场界环境噪声排放标准</w:t>
      </w:r>
      <w:r>
        <w:rPr>
          <w:rFonts w:hint="eastAsia" w:ascii="仿宋" w:hAnsi="仿宋" w:eastAsia="仿宋" w:cs="仿宋"/>
          <w:b w:val="0"/>
          <w:bCs w:val="0"/>
          <w:kern w:val="0"/>
          <w:sz w:val="28"/>
          <w:szCs w:val="28"/>
        </w:rPr>
        <w:t>》（GB12523-2011）要求。</w:t>
      </w:r>
      <w:r>
        <w:rPr>
          <w:rFonts w:hint="eastAsia" w:ascii="仿宋" w:hAnsi="仿宋" w:eastAsia="仿宋" w:cs="仿宋"/>
          <w:b w:val="0"/>
          <w:bCs w:val="0"/>
          <w:kern w:val="0"/>
          <w:sz w:val="28"/>
          <w:szCs w:val="28"/>
          <w:lang w:eastAsia="zh-CN"/>
        </w:rPr>
        <w:t>施工机械、运输车辆等排放的尾气必须达到国家相关的排放标准。</w:t>
      </w:r>
      <w:r>
        <w:rPr>
          <w:rFonts w:hint="eastAsia" w:ascii="仿宋" w:hAnsi="仿宋" w:eastAsia="仿宋" w:cs="仿宋"/>
          <w:b w:val="0"/>
          <w:bCs w:val="0"/>
          <w:kern w:val="0"/>
          <w:sz w:val="28"/>
          <w:szCs w:val="28"/>
        </w:rPr>
        <w:t>施工过程产生的建筑固废运送到指定地点，生活垃圾由</w:t>
      </w:r>
      <w:r>
        <w:rPr>
          <w:rFonts w:hint="eastAsia" w:ascii="仿宋" w:hAnsi="仿宋" w:eastAsia="仿宋" w:cs="仿宋"/>
          <w:b w:val="0"/>
          <w:bCs w:val="0"/>
          <w:kern w:val="0"/>
          <w:sz w:val="28"/>
          <w:szCs w:val="28"/>
          <w:lang w:eastAsia="zh-CN"/>
        </w:rPr>
        <w:t>当地</w:t>
      </w:r>
      <w:r>
        <w:rPr>
          <w:rFonts w:hint="eastAsia" w:ascii="仿宋" w:hAnsi="仿宋" w:eastAsia="仿宋" w:cs="仿宋"/>
          <w:b w:val="0"/>
          <w:bCs w:val="0"/>
          <w:kern w:val="0"/>
          <w:sz w:val="28"/>
          <w:szCs w:val="28"/>
        </w:rPr>
        <w:t>环卫部门集中收集。</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val="en-US" w:eastAsia="zh-CN"/>
        </w:rPr>
        <w:t>2</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严格落实《报告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》提出的大气污染防治措施</w:t>
      </w:r>
      <w:r>
        <w:rPr>
          <w:rFonts w:hint="eastAsia" w:ascii="仿宋" w:hAnsi="仿宋" w:eastAsia="仿宋" w:cs="仿宋"/>
          <w:b w:val="0"/>
          <w:bCs w:val="0"/>
          <w:kern w:val="0"/>
          <w:sz w:val="28"/>
          <w:szCs w:val="28"/>
          <w:lang w:eastAsia="zh-CN"/>
        </w:rPr>
        <w:t>，确保废气排放符合各项排放标准和总量指标。余热烘干窑产生的烘干废气、3#回转窑产生的灼烧废气和天然气燃烧废气经回转窑自带的1套旋风除尘器+1台布袋除尘器处理后，由1根15m高排气筒（DA013）排放；4#回转窑产生的灼烧废气和天然气燃烧废气经回转窑自带的1套旋风除尘器+1台布袋除尘器处理后，由1根15m高排气筒（DA014）排放；2#辊道窑窑头产生的灼烧废气和天然气燃烧废气经辊道窑自带的1套旋风除尘器+1台布袋除尘器处理后，由1根15m高排气筒（DA015）排放；</w:t>
      </w:r>
      <w:r>
        <w:rPr>
          <w:rFonts w:hint="eastAsia" w:ascii="仿宋" w:hAnsi="仿宋" w:eastAsia="仿宋" w:cs="仿宋"/>
          <w:b w:val="0"/>
          <w:bCs w:val="0"/>
          <w:kern w:val="0"/>
          <w:sz w:val="28"/>
          <w:szCs w:val="28"/>
          <w:highlight w:val="none"/>
          <w:lang w:eastAsia="zh-CN"/>
        </w:rPr>
        <w:t>2#辊道窑窑尾冷却废气由1根15m高排气筒（DA016）排放</w:t>
      </w:r>
      <w:r>
        <w:rPr>
          <w:rFonts w:hint="eastAsia" w:ascii="仿宋" w:hAnsi="仿宋" w:eastAsia="仿宋" w:cs="仿宋"/>
          <w:b w:val="0"/>
          <w:bCs w:val="0"/>
          <w:kern w:val="0"/>
          <w:sz w:val="28"/>
          <w:szCs w:val="28"/>
          <w:lang w:eastAsia="zh-CN"/>
        </w:rPr>
        <w:t>，天然气燃烧采用低氮燃烧技术，废气全部严格按照《报告表》要求设计安装污染防治设施，确保有组织废气排放</w:t>
      </w:r>
      <w:r>
        <w:rPr>
          <w:rFonts w:hint="eastAsia" w:ascii="仿宋" w:hAnsi="仿宋" w:eastAsia="仿宋" w:cs="仿宋"/>
          <w:b w:val="0"/>
          <w:bCs w:val="0"/>
          <w:kern w:val="0"/>
          <w:sz w:val="28"/>
          <w:szCs w:val="28"/>
          <w:lang w:val="en-US" w:eastAsia="zh-CN"/>
        </w:rPr>
        <w:t>满足</w:t>
      </w:r>
      <w:r>
        <w:rPr>
          <w:rFonts w:hint="eastAsia" w:ascii="仿宋" w:hAnsi="仿宋" w:eastAsia="仿宋" w:cs="仿宋"/>
          <w:b w:val="0"/>
          <w:bCs w:val="0"/>
          <w:kern w:val="0"/>
          <w:sz w:val="28"/>
          <w:szCs w:val="28"/>
          <w:lang w:eastAsia="zh-CN"/>
        </w:rPr>
        <w:t>《稀土工业污染物排放标准》（GB26451-2011）修改单中表</w:t>
      </w:r>
      <w:r>
        <w:rPr>
          <w:rFonts w:hint="eastAsia" w:ascii="仿宋" w:hAnsi="仿宋" w:eastAsia="仿宋" w:cs="仿宋"/>
          <w:b w:val="0"/>
          <w:bCs w:val="0"/>
          <w:kern w:val="0"/>
          <w:sz w:val="28"/>
          <w:szCs w:val="28"/>
          <w:lang w:val="en-US" w:eastAsia="zh-CN"/>
        </w:rPr>
        <w:t>1</w:t>
      </w:r>
      <w:r>
        <w:rPr>
          <w:rFonts w:hint="eastAsia" w:ascii="仿宋" w:hAnsi="仿宋" w:eastAsia="仿宋" w:cs="仿宋"/>
          <w:b w:val="0"/>
          <w:bCs w:val="0"/>
          <w:kern w:val="0"/>
          <w:sz w:val="28"/>
          <w:szCs w:val="28"/>
          <w:lang w:eastAsia="zh-CN"/>
        </w:rPr>
        <w:t>大气污染物特别排放限值；投料粉尘经全封闭车间自然沉降后无组织排放，气流粉碎机、筛分机、射流分级机产生的废气经自带布袋除尘器处理、自然沉降后无组织排放；生产车间全封闭并采取有效抑尘措施，确保厂界无组织废气排放满足《稀土工业污染物排放标准》（GB26451－2011）中表6相应排放限值。</w:t>
      </w:r>
      <w:r>
        <w:rPr>
          <w:rFonts w:hint="eastAsia" w:ascii="仿宋" w:hAnsi="仿宋" w:eastAsia="仿宋" w:cs="仿宋"/>
          <w:b w:val="0"/>
          <w:bCs w:val="0"/>
          <w:kern w:val="0"/>
          <w:sz w:val="28"/>
          <w:szCs w:val="28"/>
          <w:lang w:val="zh-CN" w:eastAsia="zh-CN"/>
        </w:rPr>
        <w:t>职工食堂安装油烟净化设施，确保油烟达标排放。</w:t>
      </w:r>
      <w:r>
        <w:rPr>
          <w:rFonts w:hint="eastAsia" w:ascii="仿宋" w:hAnsi="仿宋" w:eastAsia="仿宋" w:cs="仿宋"/>
          <w:b w:val="0"/>
          <w:bCs w:val="0"/>
          <w:kern w:val="0"/>
          <w:sz w:val="28"/>
          <w:szCs w:val="28"/>
          <w:lang w:eastAsia="zh-CN"/>
        </w:rPr>
        <w:t>各项大气污染物的排放自</w:t>
      </w:r>
      <w:r>
        <w:rPr>
          <w:rFonts w:hint="eastAsia" w:ascii="仿宋" w:hAnsi="仿宋" w:eastAsia="仿宋" w:cs="仿宋"/>
          <w:b w:val="0"/>
          <w:bCs w:val="0"/>
          <w:kern w:val="0"/>
          <w:sz w:val="28"/>
          <w:szCs w:val="28"/>
          <w:lang w:val="en-US" w:eastAsia="zh-CN"/>
        </w:rPr>
        <w:t>2026年1月1日起全部执行大气污染物特别排放限值（内政发[2024]17号）。非道路移动机械进行环保编码登记；运输及作业车辆、机械尾气达标排放。排气筒设置永久性规范的采样监测孔和监测平台，设置废气排放口标识。鼓励使用清洁能源机械、车辆。 厂区道路硬化，其他区域硬化、绿化或采取有效抑尘措施。</w:t>
      </w:r>
    </w:p>
    <w:p>
      <w:pPr>
        <w:numPr>
          <w:ilvl w:val="0"/>
          <w:numId w:val="0"/>
        </w:numPr>
        <w:adjustRightInd w:val="0"/>
        <w:snapToGrid w:val="0"/>
        <w:spacing w:line="360" w:lineRule="auto"/>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　　3、</w:t>
      </w:r>
      <w:r>
        <w:rPr>
          <w:rFonts w:hint="eastAsia" w:ascii="仿宋" w:hAnsi="仿宋" w:eastAsia="仿宋" w:cs="仿宋"/>
          <w:b w:val="0"/>
          <w:bCs w:val="0"/>
          <w:kern w:val="0"/>
          <w:sz w:val="28"/>
          <w:szCs w:val="28"/>
        </w:rPr>
        <w:t>严格按照《报告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》要求落实水污染防治措施</w:t>
      </w:r>
      <w:r>
        <w:rPr>
          <w:rFonts w:hint="eastAsia" w:ascii="仿宋" w:hAnsi="仿宋" w:eastAsia="仿宋" w:cs="仿宋"/>
          <w:b w:val="0"/>
          <w:bCs w:val="0"/>
          <w:kern w:val="0"/>
          <w:sz w:val="28"/>
          <w:szCs w:val="28"/>
          <w:lang w:val="en-US" w:eastAsia="zh-CN"/>
        </w:rPr>
        <w:t>，确保废水排放符合各项排放标准。本项目无生产废水产生；生活污水依托厂区现有地埋式一体化污水处理设备处理后，满足《稀土工业污染物排放标准》（GB26451－2011）中表2相应排放限值及园区污水处理厂进水水质标准后定期拉运至乌拉特前旗工业园区污水处理厂处理</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highlight w:val="none"/>
          <w:lang w:eastAsia="zh-CN"/>
        </w:rPr>
        <w:t>生活污水排放口安装流量计等监测监控设施和排污口标志标识及规范的采样口。</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val="en-US" w:eastAsia="zh-CN"/>
        </w:rPr>
        <w:t>4</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严格</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提出的噪声</w:t>
      </w:r>
      <w:r>
        <w:rPr>
          <w:rFonts w:hint="eastAsia" w:ascii="仿宋" w:hAnsi="仿宋" w:eastAsia="仿宋" w:cs="仿宋"/>
          <w:b w:val="0"/>
          <w:bCs w:val="0"/>
          <w:kern w:val="0"/>
          <w:sz w:val="28"/>
          <w:szCs w:val="28"/>
        </w:rPr>
        <w:t>污染防治措施</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选用低噪声设备，并采取妥善的减振、隔声和消声等噪声控制措施，确保厂界噪声满足《工业企业厂界环境噪声排放标准》(GB12348-2008)中</w:t>
      </w: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rPr>
        <w:t>类标准。</w:t>
      </w:r>
    </w:p>
    <w:p>
      <w:p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5</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w:t>
      </w:r>
      <w:r>
        <w:rPr>
          <w:rFonts w:hint="eastAsia" w:ascii="仿宋" w:hAnsi="仿宋" w:eastAsia="仿宋" w:cs="仿宋"/>
          <w:b w:val="0"/>
          <w:bCs w:val="0"/>
          <w:kern w:val="0"/>
          <w:sz w:val="28"/>
          <w:szCs w:val="28"/>
        </w:rPr>
        <w:t>固体废物污染防治措施</w:t>
      </w:r>
      <w:r>
        <w:rPr>
          <w:rFonts w:hint="eastAsia" w:ascii="仿宋" w:hAnsi="仿宋" w:eastAsia="仿宋" w:cs="仿宋"/>
          <w:b w:val="0"/>
          <w:bCs w:val="0"/>
          <w:kern w:val="0"/>
          <w:sz w:val="28"/>
          <w:szCs w:val="28"/>
          <w:lang w:eastAsia="zh-CN"/>
        </w:rPr>
        <w:t>，分类分区处置各类固废。原料的废包装、生产过程中的降尘属于一般工业固废，暂存于厂区现有一般固废暂存间，定期外售综合利用；废匣钵属于一般工业固废，暂存于一般固废暂存间内，定期由厂家回收；旋风除尘器+布袋除尘器除尘灰全部返回混料包装机内，作为产品出售，不在厂区暂存。</w:t>
      </w:r>
      <w:r>
        <w:rPr>
          <w:rFonts w:hint="eastAsia" w:ascii="仿宋" w:hAnsi="仿宋" w:eastAsia="仿宋" w:cs="仿宋"/>
          <w:b w:val="0"/>
          <w:bCs w:val="0"/>
          <w:kern w:val="0"/>
          <w:sz w:val="28"/>
          <w:szCs w:val="28"/>
          <w:lang w:val="zh-CN" w:eastAsia="zh-CN"/>
        </w:rPr>
        <w:t>一般固废</w:t>
      </w:r>
      <w:r>
        <w:rPr>
          <w:rFonts w:hint="eastAsia" w:ascii="仿宋" w:hAnsi="仿宋" w:eastAsia="仿宋" w:cs="仿宋"/>
          <w:b w:val="0"/>
          <w:bCs w:val="0"/>
          <w:kern w:val="0"/>
          <w:sz w:val="28"/>
          <w:szCs w:val="28"/>
          <w:lang w:val="en-US" w:eastAsia="zh-CN"/>
        </w:rPr>
        <w:t>暂存间选址、设计、建设、运行、管理和一般固废的</w:t>
      </w:r>
      <w:r>
        <w:rPr>
          <w:rFonts w:hint="eastAsia" w:ascii="仿宋" w:hAnsi="仿宋" w:eastAsia="仿宋" w:cs="仿宋"/>
          <w:b w:val="0"/>
          <w:bCs w:val="0"/>
          <w:kern w:val="0"/>
          <w:sz w:val="28"/>
          <w:szCs w:val="28"/>
          <w:lang w:val="zh-CN" w:eastAsia="zh-CN"/>
        </w:rPr>
        <w:t>收集、贮存、转移等严格执行《一般工业固体废物贮存和填埋污染控制标准》（GB18599-2020）及其国家法律法规等的相关规定、技术规范、标准。职工日常生活产生的生活垃圾收集后委托环卫部门清运处置。</w:t>
      </w:r>
      <w:r>
        <w:rPr>
          <w:rFonts w:hint="eastAsia" w:ascii="仿宋" w:hAnsi="仿宋" w:eastAsia="仿宋" w:cs="仿宋"/>
          <w:b w:val="0"/>
          <w:bCs w:val="0"/>
          <w:kern w:val="0"/>
          <w:sz w:val="28"/>
          <w:szCs w:val="28"/>
          <w:lang w:val="en-US" w:eastAsia="zh-CN"/>
        </w:rPr>
        <w:t>固废回收处置或综合利用必须符合国家法律法规和技术规范、标准。建立健全一般固废产生收集转移处置等管理台账记录。</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eastAsia="zh-CN"/>
        </w:rPr>
        <w:t>废润滑油、废润滑油</w:t>
      </w:r>
      <w:r>
        <w:rPr>
          <w:rFonts w:hint="eastAsia" w:ascii="仿宋" w:hAnsi="仿宋" w:eastAsia="仿宋" w:cs="仿宋"/>
          <w:b w:val="0"/>
          <w:bCs w:val="0"/>
          <w:kern w:val="0"/>
          <w:sz w:val="28"/>
          <w:szCs w:val="28"/>
          <w:lang w:val="en-US" w:eastAsia="zh-CN"/>
        </w:rPr>
        <w:t>桶、废</w:t>
      </w:r>
      <w:r>
        <w:rPr>
          <w:rFonts w:hint="eastAsia" w:ascii="仿宋" w:hAnsi="仿宋" w:eastAsia="仿宋" w:cs="仿宋"/>
          <w:b w:val="0"/>
          <w:bCs w:val="0"/>
          <w:kern w:val="0"/>
          <w:sz w:val="28"/>
          <w:szCs w:val="28"/>
          <w:lang w:eastAsia="zh-CN"/>
        </w:rPr>
        <w:t>含油抹布、劳保用品属于危险废物，暂存于厂区现有的危废暂存间内，定期交由有资质单位进行处置。</w:t>
      </w:r>
      <w:r>
        <w:rPr>
          <w:rFonts w:hint="eastAsia" w:ascii="仿宋" w:hAnsi="仿宋" w:eastAsia="仿宋" w:cs="仿宋"/>
          <w:b w:val="0"/>
          <w:bCs w:val="0"/>
          <w:kern w:val="0"/>
          <w:sz w:val="28"/>
          <w:szCs w:val="28"/>
          <w:lang w:val="en-US" w:eastAsia="zh-CN"/>
        </w:rPr>
        <w:t>危险废物暂存间的选址、设计、建设、运行和管理及</w:t>
      </w:r>
      <w:r>
        <w:rPr>
          <w:rFonts w:hint="eastAsia" w:ascii="仿宋" w:hAnsi="仿宋" w:eastAsia="仿宋" w:cs="仿宋"/>
          <w:b w:val="0"/>
          <w:bCs w:val="0"/>
          <w:kern w:val="0"/>
          <w:sz w:val="28"/>
          <w:szCs w:val="28"/>
        </w:rPr>
        <w:t>危险废物</w:t>
      </w:r>
      <w:r>
        <w:rPr>
          <w:rFonts w:hint="eastAsia" w:ascii="仿宋" w:hAnsi="仿宋" w:eastAsia="仿宋" w:cs="仿宋"/>
          <w:b w:val="0"/>
          <w:bCs w:val="0"/>
          <w:kern w:val="0"/>
          <w:sz w:val="28"/>
          <w:szCs w:val="28"/>
          <w:lang w:val="en-US" w:eastAsia="zh-CN"/>
        </w:rPr>
        <w:t>的</w:t>
      </w:r>
      <w:r>
        <w:rPr>
          <w:rFonts w:hint="eastAsia" w:ascii="仿宋" w:hAnsi="仿宋" w:eastAsia="仿宋" w:cs="仿宋"/>
          <w:b w:val="0"/>
          <w:bCs w:val="0"/>
          <w:kern w:val="0"/>
          <w:sz w:val="28"/>
          <w:szCs w:val="28"/>
          <w:lang w:eastAsia="zh-CN"/>
        </w:rPr>
        <w:t>收集、贮存、转移等严格</w:t>
      </w:r>
      <w:r>
        <w:rPr>
          <w:rFonts w:hint="eastAsia" w:ascii="仿宋" w:hAnsi="仿宋" w:eastAsia="仿宋" w:cs="仿宋"/>
          <w:b w:val="0"/>
          <w:bCs w:val="0"/>
          <w:kern w:val="0"/>
          <w:sz w:val="28"/>
          <w:szCs w:val="28"/>
        </w:rPr>
        <w:t>执行《危险废物贮存污染控制标准》（GB18597-20</w:t>
      </w:r>
      <w:r>
        <w:rPr>
          <w:rFonts w:hint="eastAsia" w:ascii="仿宋" w:hAnsi="仿宋" w:eastAsia="仿宋" w:cs="仿宋"/>
          <w:b w:val="0"/>
          <w:bCs w:val="0"/>
          <w:kern w:val="0"/>
          <w:sz w:val="28"/>
          <w:szCs w:val="28"/>
          <w:lang w:val="en-US" w:eastAsia="zh-CN"/>
        </w:rPr>
        <w:t>23</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和国家法律法规等相关规定、技术规范、标准</w:t>
      </w:r>
      <w:r>
        <w:rPr>
          <w:rFonts w:hint="eastAsia" w:ascii="仿宋" w:hAnsi="仿宋" w:eastAsia="仿宋" w:cs="仿宋"/>
          <w:b w:val="0"/>
          <w:bCs w:val="0"/>
          <w:kern w:val="0"/>
          <w:sz w:val="28"/>
          <w:szCs w:val="28"/>
          <w:lang w:val="en-US" w:eastAsia="zh-CN"/>
        </w:rPr>
        <w:t>。</w:t>
      </w:r>
      <w:r>
        <w:rPr>
          <w:rFonts w:hint="eastAsia" w:ascii="仿宋" w:hAnsi="仿宋" w:eastAsia="仿宋" w:cs="仿宋"/>
          <w:b w:val="0"/>
          <w:bCs w:val="0"/>
          <w:kern w:val="0"/>
          <w:sz w:val="28"/>
          <w:szCs w:val="28"/>
        </w:rPr>
        <w:t>建立</w:t>
      </w:r>
      <w:r>
        <w:rPr>
          <w:rFonts w:hint="eastAsia" w:ascii="仿宋" w:hAnsi="仿宋" w:eastAsia="仿宋" w:cs="仿宋"/>
          <w:b w:val="0"/>
          <w:bCs w:val="0"/>
          <w:kern w:val="0"/>
          <w:sz w:val="28"/>
          <w:szCs w:val="28"/>
          <w:lang w:eastAsia="zh-CN"/>
        </w:rPr>
        <w:t>健全</w:t>
      </w:r>
      <w:r>
        <w:rPr>
          <w:rFonts w:hint="eastAsia" w:ascii="仿宋" w:hAnsi="仿宋" w:eastAsia="仿宋" w:cs="仿宋"/>
          <w:b w:val="0"/>
          <w:bCs w:val="0"/>
          <w:kern w:val="0"/>
          <w:sz w:val="28"/>
          <w:szCs w:val="28"/>
        </w:rPr>
        <w:t>危险废物</w:t>
      </w:r>
      <w:r>
        <w:rPr>
          <w:rFonts w:hint="eastAsia" w:ascii="仿宋" w:hAnsi="仿宋" w:eastAsia="仿宋" w:cs="仿宋"/>
          <w:b w:val="0"/>
          <w:bCs w:val="0"/>
          <w:kern w:val="0"/>
          <w:sz w:val="28"/>
          <w:szCs w:val="28"/>
          <w:lang w:eastAsia="zh-CN"/>
        </w:rPr>
        <w:t>产生、收集、贮存、转移、使用、处置等运行</w:t>
      </w:r>
      <w:r>
        <w:rPr>
          <w:rFonts w:hint="eastAsia" w:ascii="仿宋" w:hAnsi="仿宋" w:eastAsia="仿宋" w:cs="仿宋"/>
          <w:b w:val="0"/>
          <w:bCs w:val="0"/>
          <w:kern w:val="0"/>
          <w:sz w:val="28"/>
          <w:szCs w:val="28"/>
        </w:rPr>
        <w:t>情况台账</w:t>
      </w:r>
      <w:r>
        <w:rPr>
          <w:rFonts w:hint="eastAsia" w:ascii="仿宋" w:hAnsi="仿宋" w:eastAsia="仿宋" w:cs="仿宋"/>
          <w:b w:val="0"/>
          <w:bCs w:val="0"/>
          <w:kern w:val="0"/>
          <w:sz w:val="28"/>
          <w:szCs w:val="28"/>
          <w:lang w:eastAsia="zh-CN"/>
        </w:rPr>
        <w:t>，实现危险废物全过程信息“可定位、可溯源、可共享”的精细化管理。按照环境保护法律法规规章和</w:t>
      </w:r>
      <w:r>
        <w:rPr>
          <w:rFonts w:hint="eastAsia" w:ascii="仿宋" w:hAnsi="仿宋" w:eastAsia="仿宋" w:cs="仿宋"/>
          <w:b w:val="0"/>
          <w:bCs w:val="0"/>
          <w:kern w:val="0"/>
          <w:sz w:val="28"/>
          <w:szCs w:val="28"/>
        </w:rPr>
        <w:t>《危险废物识别标志设置技术规范》（HJ1276-2022）、《环境保护图形标志—固体废物贮存（处置）场》（GB15562.2-1995）及其修改单的要求设置贮存设施标志牌、危险废物标签等</w:t>
      </w:r>
      <w:r>
        <w:rPr>
          <w:rFonts w:hint="eastAsia" w:ascii="仿宋" w:hAnsi="仿宋" w:eastAsia="仿宋" w:cs="仿宋"/>
          <w:b w:val="0"/>
          <w:bCs w:val="0"/>
          <w:kern w:val="0"/>
          <w:sz w:val="28"/>
          <w:szCs w:val="28"/>
          <w:lang w:val="en-US" w:eastAsia="zh-CN"/>
        </w:rPr>
        <w:t>。</w:t>
      </w:r>
    </w:p>
    <w:p>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highlight w:val="none"/>
          <w:lang w:val="en-GB" w:eastAsia="zh-CN"/>
        </w:rPr>
      </w:pPr>
      <w:r>
        <w:rPr>
          <w:rFonts w:hint="eastAsia" w:ascii="仿宋" w:hAnsi="仿宋" w:eastAsia="仿宋" w:cs="仿宋"/>
          <w:b w:val="0"/>
          <w:bCs w:val="0"/>
          <w:kern w:val="0"/>
          <w:sz w:val="28"/>
          <w:szCs w:val="28"/>
          <w:lang w:val="en-US" w:eastAsia="zh-CN"/>
        </w:rPr>
        <w:t>6.</w:t>
      </w:r>
      <w:r>
        <w:rPr>
          <w:rFonts w:hint="eastAsia" w:ascii="仿宋" w:hAnsi="仿宋" w:eastAsia="仿宋" w:cs="仿宋"/>
          <w:b w:val="0"/>
          <w:bCs w:val="0"/>
          <w:kern w:val="0"/>
          <w:sz w:val="28"/>
          <w:szCs w:val="28"/>
          <w:lang w:val="en-GB" w:eastAsia="zh-CN"/>
        </w:rPr>
        <w:t>强化地下水和土壤污染防治。按照相关技术规范、标准和《报告表》要求严格落实各类污染防渗区的防渗措施，</w:t>
      </w:r>
      <w:r>
        <w:rPr>
          <w:rFonts w:hint="eastAsia" w:ascii="仿宋" w:hAnsi="仿宋" w:eastAsia="仿宋" w:cs="仿宋"/>
          <w:b w:val="0"/>
          <w:bCs w:val="0"/>
          <w:kern w:val="0"/>
          <w:sz w:val="28"/>
          <w:szCs w:val="28"/>
          <w:lang w:val="zh-CN" w:eastAsia="zh-CN"/>
        </w:rPr>
        <w:t>加强地下水监控和</w:t>
      </w:r>
      <w:r>
        <w:rPr>
          <w:rFonts w:hint="eastAsia" w:ascii="仿宋" w:hAnsi="仿宋" w:eastAsia="仿宋" w:cs="仿宋"/>
          <w:b w:val="0"/>
          <w:bCs w:val="0"/>
          <w:kern w:val="0"/>
          <w:sz w:val="28"/>
          <w:szCs w:val="28"/>
          <w:lang w:val="en-GB" w:eastAsia="zh-CN"/>
        </w:rPr>
        <w:t>土壤污染防控。严禁地下水和土壤污染</w:t>
      </w:r>
      <w:r>
        <w:rPr>
          <w:rFonts w:hint="eastAsia" w:ascii="仿宋" w:hAnsi="仿宋" w:eastAsia="仿宋" w:cs="仿宋"/>
          <w:b w:val="0"/>
          <w:bCs w:val="0"/>
          <w:kern w:val="0"/>
          <w:sz w:val="28"/>
          <w:szCs w:val="28"/>
          <w:highlight w:val="none"/>
          <w:lang w:val="en-US" w:eastAsia="zh-CN"/>
        </w:rPr>
        <w:t>,不得对周围环境敏感目标造成影响</w:t>
      </w:r>
      <w:r>
        <w:rPr>
          <w:rFonts w:hint="eastAsia" w:ascii="仿宋" w:hAnsi="仿宋" w:eastAsia="仿宋" w:cs="仿宋"/>
          <w:b w:val="0"/>
          <w:bCs w:val="0"/>
          <w:kern w:val="0"/>
          <w:sz w:val="28"/>
          <w:szCs w:val="28"/>
          <w:highlight w:val="none"/>
          <w:lang w:val="en-GB" w:eastAsia="zh-CN"/>
        </w:rPr>
        <w:t>。</w:t>
      </w:r>
    </w:p>
    <w:p>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7</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zh-CN" w:eastAsia="zh-CN"/>
        </w:rPr>
        <w:t>强化环境风险防范意识，落实《报告表》和国家相关的环境风险事故防范措施。启动生产前修编突发环境事件应急预案并报我局备案，配套安装污染防治设施安全防护装置，设置警示标识，提高事故风险防范和污染控制能力。加强对厂区管网及危险化学品运输、装卸、存储及使用等各个环节的安全管理，切实做好各项应急防范工作，防止生产过程中“跑、冒、滴、漏”造成污染事故的发生。制定污染防治设施运行安全管理制度并严格落实，配套安装的污染防治设施必须符合国家相关规定和技术规范要求。污染防治设施安装用电计量装置。</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8、企业应按照环境管理规定和技术规范及《报告表》的要求，设计、建设、运维永久性采样口、采样测试平台、监控设施、安全防护设施和排污口标志、标识。</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9、项目建设必须严格执行环境保护“三同时”制度，项目竣工后你公司要按规定进行项目竣工环境保护验收。验收合格后主体工程方可正式投入生产。</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10、建设项目在启动生产设施或者在实际排污之前，依法需申领排污许可证的，须按相关规定申领排污许可证，做到持证排污、按证排污。项目投产后按排污许可证规定开展环境监测，污染物排放达到排污许可证规定的许可排放量要求，并提交公示污染物排放监测报告和排污许可证执行报告。严格执行排污单位自行监测的相关规定。建立健全环境保护管理台账。</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11、建设项目环境影响评价文件经批准后,建设项目的性质、规模、地点、生产工艺或者防治污染措施发生重大变动,你公司应当重新报批环境影响评价文件,否则不得实施建设。该项目的环评文件自批准之日起超过五年，方决定开工建设,其环评文件应当报我局重新审核，否则不得开工建设。</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12、该项目的环境执法现场监察和日常监督管理由乌拉特前旗生态环境综合行政执法大队负责。</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巴彦淖尔市生态环境局乌拉特前旗分局</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xml:space="preserve">                      　　 2025年10月29日</w:t>
      </w:r>
    </w:p>
    <w:p>
      <w:pPr>
        <w:adjustRightInd w:val="0"/>
        <w:snapToGrid w:val="0"/>
        <w:spacing w:line="360" w:lineRule="auto"/>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u w:val="single"/>
        </w:rPr>
        <w:t>抄送：乌拉特前旗</w:t>
      </w:r>
      <w:r>
        <w:rPr>
          <w:rFonts w:hint="eastAsia" w:ascii="仿宋" w:hAnsi="仿宋" w:eastAsia="仿宋" w:cs="仿宋"/>
          <w:b w:val="0"/>
          <w:bCs w:val="0"/>
          <w:kern w:val="0"/>
          <w:sz w:val="28"/>
          <w:szCs w:val="28"/>
          <w:u w:val="single"/>
          <w:lang w:eastAsia="zh-CN"/>
        </w:rPr>
        <w:t>生态环境综合行政执法</w:t>
      </w:r>
      <w:r>
        <w:rPr>
          <w:rFonts w:hint="eastAsia" w:ascii="仿宋" w:hAnsi="仿宋" w:eastAsia="仿宋" w:cs="仿宋"/>
          <w:b w:val="0"/>
          <w:bCs w:val="0"/>
          <w:kern w:val="0"/>
          <w:sz w:val="28"/>
          <w:szCs w:val="28"/>
          <w:u w:val="single"/>
        </w:rPr>
        <w:t>大队、乌拉特前旗环境保护监测站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4F547"/>
    <w:multiLevelType w:val="singleLevel"/>
    <w:tmpl w:val="4854F5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77E6"/>
    <w:rsid w:val="01160C1C"/>
    <w:rsid w:val="01A544B3"/>
    <w:rsid w:val="02217FDE"/>
    <w:rsid w:val="03623F11"/>
    <w:rsid w:val="03E7585E"/>
    <w:rsid w:val="05C459D1"/>
    <w:rsid w:val="06906652"/>
    <w:rsid w:val="06C97AB1"/>
    <w:rsid w:val="07CA744D"/>
    <w:rsid w:val="07E32683"/>
    <w:rsid w:val="087A6DA4"/>
    <w:rsid w:val="08A02B09"/>
    <w:rsid w:val="0A915457"/>
    <w:rsid w:val="0C1741FF"/>
    <w:rsid w:val="0DD979BE"/>
    <w:rsid w:val="0EEC3721"/>
    <w:rsid w:val="0F563291"/>
    <w:rsid w:val="0FA740F0"/>
    <w:rsid w:val="10066A65"/>
    <w:rsid w:val="12064421"/>
    <w:rsid w:val="12FF184A"/>
    <w:rsid w:val="1365377B"/>
    <w:rsid w:val="160961B1"/>
    <w:rsid w:val="17B22CCB"/>
    <w:rsid w:val="185223C1"/>
    <w:rsid w:val="1B4924E2"/>
    <w:rsid w:val="1C026332"/>
    <w:rsid w:val="1C0564C6"/>
    <w:rsid w:val="1DB7139E"/>
    <w:rsid w:val="1F7C71B6"/>
    <w:rsid w:val="23152DEF"/>
    <w:rsid w:val="25417593"/>
    <w:rsid w:val="25C7239A"/>
    <w:rsid w:val="26900E0A"/>
    <w:rsid w:val="26D93488"/>
    <w:rsid w:val="275859A0"/>
    <w:rsid w:val="27BC295E"/>
    <w:rsid w:val="27ED1C6C"/>
    <w:rsid w:val="281C077C"/>
    <w:rsid w:val="29921E4F"/>
    <w:rsid w:val="299859B5"/>
    <w:rsid w:val="2B0E6BAF"/>
    <w:rsid w:val="2E5A0431"/>
    <w:rsid w:val="2F6E6D27"/>
    <w:rsid w:val="33940091"/>
    <w:rsid w:val="34982916"/>
    <w:rsid w:val="371A67CE"/>
    <w:rsid w:val="37895702"/>
    <w:rsid w:val="38FB00A6"/>
    <w:rsid w:val="3B023801"/>
    <w:rsid w:val="3CFB00FD"/>
    <w:rsid w:val="3ECA0ADA"/>
    <w:rsid w:val="404F012D"/>
    <w:rsid w:val="41BD66D4"/>
    <w:rsid w:val="42B45D29"/>
    <w:rsid w:val="43BD0C0D"/>
    <w:rsid w:val="451D5766"/>
    <w:rsid w:val="45B40CF8"/>
    <w:rsid w:val="46AA1819"/>
    <w:rsid w:val="46F0722F"/>
    <w:rsid w:val="47C6412F"/>
    <w:rsid w:val="47CD5197"/>
    <w:rsid w:val="4C4B0D80"/>
    <w:rsid w:val="4D2E66D8"/>
    <w:rsid w:val="4F3B0861"/>
    <w:rsid w:val="50415567"/>
    <w:rsid w:val="518014CC"/>
    <w:rsid w:val="52DE4118"/>
    <w:rsid w:val="564E1B99"/>
    <w:rsid w:val="5D1D49DA"/>
    <w:rsid w:val="5D7A4D88"/>
    <w:rsid w:val="5F3427FB"/>
    <w:rsid w:val="614F69C7"/>
    <w:rsid w:val="61AD1B06"/>
    <w:rsid w:val="66AA6A00"/>
    <w:rsid w:val="6A084CE3"/>
    <w:rsid w:val="6D9B526C"/>
    <w:rsid w:val="6DC14E7B"/>
    <w:rsid w:val="70B6211F"/>
    <w:rsid w:val="70F21646"/>
    <w:rsid w:val="71CC797A"/>
    <w:rsid w:val="71E04B42"/>
    <w:rsid w:val="7227435E"/>
    <w:rsid w:val="736A69A0"/>
    <w:rsid w:val="745E52AC"/>
    <w:rsid w:val="745F07B8"/>
    <w:rsid w:val="75357728"/>
    <w:rsid w:val="76937428"/>
    <w:rsid w:val="77260F48"/>
    <w:rsid w:val="77317741"/>
    <w:rsid w:val="785A4839"/>
    <w:rsid w:val="79336CA0"/>
    <w:rsid w:val="79C30024"/>
    <w:rsid w:val="7AB4616E"/>
    <w:rsid w:val="7D200BBE"/>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ind w:firstLine="0" w:firstLineChars="0"/>
      <w:outlineLvl w:val="0"/>
    </w:pPr>
    <w:rPr>
      <w:rFonts w:cstheme="majorBidi"/>
      <w:b/>
      <w:sz w:val="32"/>
      <w:szCs w:val="32"/>
    </w:rPr>
  </w:style>
  <w:style w:type="paragraph" w:styleId="3">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spacing w:after="120"/>
      <w:ind w:left="420" w:firstLine="210"/>
    </w:pPr>
  </w:style>
  <w:style w:type="paragraph" w:styleId="6">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7">
    <w:name w:val="Body Text First Indent"/>
    <w:basedOn w:val="1"/>
    <w:qFormat/>
    <w:uiPriority w:val="0"/>
    <w:pPr>
      <w:tabs>
        <w:tab w:val="left" w:pos="0"/>
      </w:tabs>
      <w:ind w:firstLine="420" w:firstLineChars="100"/>
    </w:pPr>
  </w:style>
  <w:style w:type="paragraph" w:styleId="8">
    <w:name w:val="Body Text"/>
    <w:basedOn w:val="1"/>
    <w:qFormat/>
    <w:uiPriority w:val="0"/>
    <w:pPr>
      <w:jc w:val="left"/>
    </w:pPr>
    <w:rPr>
      <w:sz w:val="24"/>
    </w:rPr>
  </w:style>
  <w:style w:type="paragraph" w:styleId="9">
    <w:name w:val="toc 2"/>
    <w:basedOn w:val="1"/>
    <w:next w:val="1"/>
    <w:semiHidden/>
    <w:qFormat/>
    <w:uiPriority w:val="0"/>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文"/>
    <w:basedOn w:val="1"/>
    <w:next w:val="1"/>
    <w:qFormat/>
    <w:uiPriority w:val="0"/>
    <w:pPr>
      <w:spacing w:line="360" w:lineRule="exact"/>
      <w:ind w:firstLine="0" w:firstLineChars="0"/>
      <w:jc w:val="center"/>
    </w:pPr>
    <w:rPr>
      <w:kern w:val="0"/>
      <w:sz w:val="21"/>
      <w:szCs w:val="20"/>
    </w:rPr>
  </w:style>
  <w:style w:type="paragraph" w:customStyle="1" w:styleId="14">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15">
    <w:name w:val="1西西正文"/>
    <w:basedOn w:val="1"/>
    <w:qFormat/>
    <w:uiPriority w:val="0"/>
    <w:pPr>
      <w:adjustRightInd w:val="0"/>
      <w:snapToGrid w:val="0"/>
      <w:ind w:firstLine="200"/>
    </w:pPr>
    <w:rPr>
      <w:sz w:val="24"/>
      <w:szCs w:val="22"/>
    </w:rPr>
  </w:style>
  <w:style w:type="paragraph" w:customStyle="1" w:styleId="16">
    <w:name w:val="本文正文"/>
    <w:basedOn w:val="1"/>
    <w:qFormat/>
    <w:uiPriority w:val="0"/>
    <w:pPr>
      <w:adjustRightInd w:val="0"/>
      <w:snapToGrid w:val="0"/>
    </w:pPr>
    <w:rPr>
      <w:rFonts w:eastAsia="宋体" w:cs="Times New Roman"/>
      <w:kern w:val="0"/>
      <w:szCs w:val="24"/>
    </w:rPr>
  </w:style>
  <w:style w:type="paragraph" w:customStyle="1" w:styleId="17">
    <w:name w:val="样式 正文1 + 首行缩进:  2 字符"/>
    <w:basedOn w:val="18"/>
    <w:qFormat/>
    <w:uiPriority w:val="0"/>
    <w:rPr>
      <w:szCs w:val="20"/>
    </w:rPr>
  </w:style>
  <w:style w:type="paragraph" w:customStyle="1" w:styleId="18">
    <w:name w:val="正文1"/>
    <w:basedOn w:val="1"/>
    <w:qFormat/>
    <w:uiPriority w:val="0"/>
    <w:pPr>
      <w:keepNext/>
      <w:spacing w:line="360" w:lineRule="auto"/>
      <w:ind w:firstLine="200" w:firstLineChars="200"/>
    </w:pPr>
    <w:rPr>
      <w:rFonts w:cs="宋体"/>
      <w:sz w:val="24"/>
    </w:rPr>
  </w:style>
  <w:style w:type="paragraph" w:customStyle="1" w:styleId="19">
    <w:name w:val="[1]正文"/>
    <w:basedOn w:val="1"/>
    <w:qFormat/>
    <w:uiPriority w:val="0"/>
    <w:pPr>
      <w:autoSpaceDE w:val="0"/>
      <w:autoSpaceDN w:val="0"/>
      <w:ind w:left="0" w:leftChars="0" w:firstLine="200" w:firstLineChars="200"/>
    </w:pPr>
    <w:rPr>
      <w:rFonts w:ascii="Times New Roman" w:hAnsi="Times New Roman"/>
      <w:color w:val="000000"/>
      <w:kern w:val="0"/>
      <w:szCs w:val="24"/>
      <w:lang w:val="zh-CN"/>
    </w:rPr>
  </w:style>
  <w:style w:type="paragraph" w:customStyle="1" w:styleId="20">
    <w:name w:val="样式 正文缩进正文缩进2正文缩进 Char Char正文缩进 Char Char Char Char正文缩进 Char ..."/>
    <w:basedOn w:val="4"/>
    <w:qFormat/>
    <w:uiPriority w:val="0"/>
    <w:pPr>
      <w:spacing w:line="360" w:lineRule="auto"/>
      <w:ind w:firstLine="20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3820</Words>
  <Characters>4119</Characters>
  <Lines>0</Lines>
  <Paragraphs>0</Paragraphs>
  <TotalTime>10</TotalTime>
  <ScaleCrop>false</ScaleCrop>
  <LinksUpToDate>false</LinksUpToDate>
  <CharactersWithSpaces>4162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Admin</cp:lastModifiedBy>
  <cp:lastPrinted>2025-09-02T08:29:00Z</cp:lastPrinted>
  <dcterms:modified xsi:type="dcterms:W3CDTF">2025-10-29T07:48:40Z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eyJoZGlkIjoiOWUzNzg4ZTMzM2YxZDhiN2ExM2ZjZGU0NjdiYTRiMjUiLCJ1c2VySWQiOiIyODY3ODg0NjUifQ==</vt:lpwstr>
  </property>
  <property fmtid="{D5CDD505-2E9C-101B-9397-08002B2CF9AE}" pid="4" name="ICV">
    <vt:lpwstr>A6778409ADC44623B5465F6B7C146B8A_13</vt:lpwstr>
  </property>
</Properties>
</file>