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3629"/>
        <w:jc w:val="center"/>
        <w:textAlignment w:val="baseline"/>
        <w:rPr>
          <w:rFonts w:ascii="仿宋" w:hAnsi="仿宋" w:eastAsia="仿宋" w:cs="仿宋"/>
          <w:snapToGrid w:val="0"/>
          <w:color w:val="000000"/>
          <w:spacing w:val="10"/>
          <w:kern w:val="0"/>
          <w:sz w:val="31"/>
          <w:szCs w:val="31"/>
          <w:lang w:eastAsia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乌拉特前旗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大佘太镇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本年度报告电子版可以从乌拉特前旗人民政府门户网站（http://www.wltqq.gov.cn）下载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如对本年度报告有任何疑问，请联系乌拉特前旗大佘太镇办公室，电话：0478-3638011。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10"/>
          <w:kern w:val="0"/>
          <w:sz w:val="32"/>
          <w:szCs w:val="32"/>
          <w:lang w:eastAsia="en-US"/>
        </w:rPr>
        <w:t>一、总体情况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(一）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主动公开情况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年，我镇按时公开财政预算、决算信息，政策文件、 规划计划、办事服务、权责清单等事项，在“巴彦淖尔市政务公开”主动公开大佘太镇政府信息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1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2023年，全镇受理政府信息公开申请0件。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我镇按照《中华人民共和国政府信息公开条例》要求，对 需公开的信息进行严格审查，确保政府信息应公开尽公开。 为保证信息发布安全，持续建立健全信息发布平台运行和管 理工作机制，规范了信息发布审批流程和保密审查机制，按 照“谁发布，谁负责”的原则，加强信息编发和审查力度， 不断强化信息公开的时效性、完整性、准确性以及保密性，确保各个公开栏目和各类信息公开及时、准确、全面。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目前我镇政务信息公开共有三种载体：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巴彦淖尔市政务公开网站对政府信息进行主动公开；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在政务信息公开专栏上公开。通过政务公开栏将政务信息对内、对外公开；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三是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其他宣传载体如《美丽富裕的大佘太》微信公众号等进行公开。利用发放文件、简报等载体公开。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坚持“以公开为常态、不公开为例外”的工作原则，继续 强化行政效能建设首问负责制、限时办结制、保密等制度机 制，及时收集草拟上传的每一条内容，并进行严格的审核保管，确保上传内容信息准确无误。不断加强信息员队伍建设，进一步明确信息员工作职责、工作流程步骤，推进信息公开工作有序展开。安排专人定期督查和审核公开的内容、公开 的时限要求等情况，主动接受社会和公众的广泛监督，全方位、多维度推进政府信息公开工作提质增效。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 、主动公开政府信息情况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836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085"/>
        <w:gridCol w:w="208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  <w:jc w:val="center"/>
        </w:trPr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本年制发件数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规章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Calibri" w:hAnsi="Calibri" w:eastAsia="宋体" w:cs="Calibri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83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2"/>
        <w:tblpPr w:leftFromText="180" w:rightFromText="180" w:vertAnchor="text" w:horzAnchor="page" w:tblpX="2071" w:tblpY="456"/>
        <w:tblOverlap w:val="never"/>
        <w:tblW w:w="7800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8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企业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机构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3.其他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60" w:lineRule="exact"/>
        <w:ind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en-US" w:bidi="ar-SA"/>
        </w:rPr>
        <w:t>五、存在的主要问题及改进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（一）存在问题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政务信息公开力度不足，信息质量、内容,形式均需一步改进和加强。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政务公开工作人员力量薄弱，公开的内容不具体、不及时。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 xml:space="preserve">    （二）改进措施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进一步明确分工，扩大信息公开量。多渠道拓展信息公开范围，及时将政策宣传到位。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加强人员配备，加大政府信息报送工作人员的培训力度，让信息工作人员熟悉政务公开各项规章制度、工作流程，提高工作人员对信息公开工作重要性的认识，增强信息公开的主动性和自觉性，稳步提升我镇政务公开工作水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560" w:lineRule="exact"/>
        <w:ind w:left="0" w:leftChars="0" w:firstLine="656" w:firstLineChars="200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240" w:lineRule="auto"/>
        <w:ind w:firstLine="656" w:firstLineChars="200"/>
        <w:jc w:val="left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根据《政府信息公开信息处理费管理办法》规定，本年度未收取任何信息处理费。无其他报告事项。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240" w:lineRule="auto"/>
        <w:ind w:firstLine="656" w:firstLineChars="200"/>
        <w:jc w:val="left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             乌拉特前旗大佘太镇人民政府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5" w:line="240" w:lineRule="auto"/>
        <w:ind w:firstLine="656" w:firstLineChars="200"/>
        <w:jc w:val="left"/>
        <w:textAlignment w:val="baseline"/>
        <w:outlineLvl w:val="0"/>
        <w:rPr>
          <w:rFonts w:hint="default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                      2024年1月10日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F41BB"/>
    <w:multiLevelType w:val="singleLevel"/>
    <w:tmpl w:val="3E3F41B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</w:docVars>
  <w:rsids>
    <w:rsidRoot w:val="54A72705"/>
    <w:rsid w:val="45925FE2"/>
    <w:rsid w:val="54A72705"/>
    <w:rsid w:val="74BE4019"/>
    <w:rsid w:val="7F0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2024-01-10T07:47:00Z</dcterms:created>
  <dc:creator>小五月</dc:creator>
  <cp:lastModifiedBy>大西几的wps</cp:lastModifiedBy>
  <dcterms:modified xsi:type="dcterms:W3CDTF">2024-01-23T02:13:00Z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4E607B317A3140B9BE719EB35F224BDC_11</vt:lpwstr>
  </property>
</Properties>
</file>