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jc w:val="center"/>
        <w:rPr>
          <w:rFonts w:hint="default" w:ascii="微软雅黑" w:hAnsi="微软雅黑" w:eastAsia="微软雅黑" w:cs="微软雅黑"/>
          <w:color w:val="000000" w:themeColor="text1"/>
          <w:sz w:val="48"/>
          <w:szCs w:val="48"/>
          <w:shd w:val="clear" w:color="auto" w:fill="FFFFFF"/>
          <w14:textFill>
            <w14:solidFill>
              <w14:schemeClr w14:val="tx1"/>
            </w14:solidFill>
          </w14:textFill>
        </w:rPr>
      </w:pPr>
      <w:r>
        <w:rPr>
          <w:rFonts w:ascii="微软雅黑" w:hAnsi="微软雅黑" w:eastAsia="微软雅黑" w:cs="微软雅黑"/>
          <w:color w:val="000000" w:themeColor="text1"/>
          <w:sz w:val="48"/>
          <w:szCs w:val="48"/>
          <w:shd w:val="clear" w:color="auto" w:fill="FFFFFF"/>
          <w14:textFill>
            <w14:solidFill>
              <w14:schemeClr w14:val="tx1"/>
            </w14:solidFill>
          </w14:textFill>
        </w:rPr>
        <w:t>乌拉特前旗</w:t>
      </w:r>
      <w:r>
        <w:rPr>
          <w:rFonts w:ascii="Arial" w:hAnsi="Arial" w:eastAsia="微软雅黑" w:cs="Arial"/>
          <w:color w:val="000000" w:themeColor="text1"/>
          <w:sz w:val="48"/>
          <w:szCs w:val="48"/>
          <w:shd w:val="clear" w:color="auto" w:fill="FFFFFF"/>
          <w14:textFill>
            <w14:solidFill>
              <w14:schemeClr w14:val="tx1"/>
            </w14:solidFill>
          </w14:textFill>
        </w:rPr>
        <w:t>公安局</w:t>
      </w:r>
      <w:r>
        <w:rPr>
          <w:rFonts w:ascii="微软雅黑" w:hAnsi="微软雅黑" w:eastAsia="微软雅黑" w:cs="微软雅黑"/>
          <w:color w:val="000000" w:themeColor="text1"/>
          <w:sz w:val="48"/>
          <w:szCs w:val="48"/>
          <w:shd w:val="clear" w:color="auto" w:fill="FFFFFF"/>
          <w14:textFill>
            <w14:solidFill>
              <w14:schemeClr w14:val="tx1"/>
            </w14:solidFill>
          </w14:textFill>
        </w:rPr>
        <w:t>2023年</w:t>
      </w:r>
    </w:p>
    <w:p>
      <w:pPr>
        <w:pStyle w:val="3"/>
        <w:widowControl/>
        <w:shd w:val="clear" w:color="auto" w:fill="FFFFFF"/>
        <w:spacing w:beforeAutospacing="0" w:afterAutospacing="0"/>
        <w:jc w:val="center"/>
        <w:rPr>
          <w:rFonts w:hint="default" w:ascii="微软雅黑" w:hAnsi="微软雅黑" w:eastAsia="微软雅黑" w:cs="微软雅黑"/>
          <w:color w:val="000000" w:themeColor="text1"/>
          <w:sz w:val="48"/>
          <w:szCs w:val="48"/>
          <w14:textFill>
            <w14:solidFill>
              <w14:schemeClr w14:val="tx1"/>
            </w14:solidFill>
          </w14:textFill>
        </w:rPr>
      </w:pPr>
      <w:r>
        <w:rPr>
          <w:rFonts w:ascii="微软雅黑" w:hAnsi="微软雅黑" w:eastAsia="微软雅黑" w:cs="微软雅黑"/>
          <w:color w:val="000000" w:themeColor="text1"/>
          <w:sz w:val="48"/>
          <w:szCs w:val="48"/>
          <w:shd w:val="clear" w:color="auto" w:fill="FFFFFF"/>
          <w14:textFill>
            <w14:solidFill>
              <w14:schemeClr w14:val="tx1"/>
            </w14:solidFill>
          </w14:textFill>
        </w:rPr>
        <w:t>政府信息公开工作年度报告</w:t>
      </w:r>
    </w:p>
    <w:p>
      <w:pPr>
        <w:pStyle w:val="5"/>
        <w:widowControl/>
        <w:shd w:val="clear" w:color="auto" w:fill="FFFFFF"/>
        <w:spacing w:beforeAutospacing="0" w:afterAutospacing="0" w:line="324" w:lineRule="atLeast"/>
        <w:ind w:firstLine="643" w:firstLineChars="200"/>
        <w:jc w:val="both"/>
        <w:rPr>
          <w:rFonts w:ascii="仿宋" w:hAnsi="仿宋" w:eastAsia="仿宋" w:cs="仿宋"/>
          <w:b/>
          <w:bCs/>
          <w:sz w:val="32"/>
          <w:szCs w:val="32"/>
        </w:rPr>
      </w:pPr>
    </w:p>
    <w:p>
      <w:pPr>
        <w:ind w:firstLine="640" w:firstLineChars="200"/>
        <w:rPr>
          <w:rFonts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本年度报告根据《中华人民共和国政府信息公开条例》（以下简称《条例》）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《国务院办公厅政府信息与政务公开办公室关于印发&lt;中华人民共和国政府信息公开工作年度报告格式&gt;的通知》（国办公开办函〔2021〕30号）要求制作。</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本报告由总体情况，主动公开政府信息情况，收到和处理政府信息公开申请情况，政府信息公开行政复议、行政诉讼情况，存在的主要问题及改进情况以及其他需要报告的事项等部分组成。</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本年度报告中所列数据的统计期限为</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日起至</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12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vertAlign w:val="baseline"/>
          <w:lang w:val="en-US"/>
          <w14:textFill>
            <w14:solidFill>
              <w14:schemeClr w14:val="tx1"/>
            </w14:solidFill>
          </w14:textFill>
        </w:rPr>
        <w:t>31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日止</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sz w:val="32"/>
          <w:szCs w:val="32"/>
          <w:shd w:val="clear" w:color="auto" w:fill="FFFFFF"/>
        </w:rPr>
        <w:t>本年度报告电子版可以从乌拉特前旗人民政府门户网站（http://www.wltqq.gov.cn）下载，如对本年度报告有疑问，请与乌拉特前旗</w:t>
      </w:r>
      <w:r>
        <w:rPr>
          <w:rFonts w:hint="eastAsia" w:ascii="Arial" w:hAnsi="Arial" w:eastAsia="仿宋_GB2312" w:cs="Arial"/>
          <w:color w:val="000000"/>
          <w:sz w:val="32"/>
          <w:szCs w:val="32"/>
          <w:shd w:val="clear" w:color="auto" w:fill="FFFFFF"/>
        </w:rPr>
        <w:t>公安局</w:t>
      </w:r>
      <w:r>
        <w:rPr>
          <w:rFonts w:hint="eastAsia" w:ascii="仿宋_GB2312" w:hAnsi="仿宋_GB2312" w:eastAsia="仿宋_GB2312" w:cs="仿宋_GB2312"/>
          <w:color w:val="000000"/>
          <w:sz w:val="32"/>
          <w:szCs w:val="32"/>
          <w:shd w:val="clear" w:color="auto" w:fill="FFFFFF"/>
        </w:rPr>
        <w:t>联系（电话：0478-32</w:t>
      </w:r>
      <w:r>
        <w:rPr>
          <w:rFonts w:ascii="仿宋_GB2312" w:hAnsi="仿宋_GB2312" w:eastAsia="仿宋_GB2312" w:cs="仿宋_GB2312"/>
          <w:color w:val="000000"/>
          <w:sz w:val="32"/>
          <w:szCs w:val="32"/>
          <w:shd w:val="clear" w:color="auto" w:fill="FFFFFF"/>
        </w:rPr>
        <w:t>16110</w:t>
      </w:r>
      <w:r>
        <w:rPr>
          <w:rFonts w:hint="eastAsia" w:ascii="仿宋_GB2312" w:hAnsi="仿宋_GB2312" w:eastAsia="仿宋_GB2312" w:cs="仿宋_GB2312"/>
          <w:color w:val="000000"/>
          <w:sz w:val="32"/>
          <w:szCs w:val="32"/>
          <w:shd w:val="clear" w:color="auto" w:fill="FFFFFF"/>
        </w:rPr>
        <w:t>）。</w:t>
      </w:r>
    </w:p>
    <w:p>
      <w:pPr>
        <w:pStyle w:val="5"/>
        <w:widowControl/>
        <w:shd w:val="clear" w:color="auto" w:fill="FFFFFF"/>
        <w:spacing w:beforeAutospacing="0" w:afterAutospacing="0" w:line="324" w:lineRule="atLeast"/>
        <w:ind w:firstLine="643" w:firstLineChars="200"/>
        <w:jc w:val="both"/>
        <w:rPr>
          <w:rFonts w:ascii="仿宋" w:hAnsi="仿宋" w:eastAsia="仿宋" w:cs="仿宋"/>
          <w:b/>
          <w:bCs/>
          <w:sz w:val="32"/>
          <w:szCs w:val="32"/>
        </w:rPr>
      </w:pPr>
      <w:r>
        <w:rPr>
          <w:rFonts w:hint="eastAsia" w:ascii="仿宋" w:hAnsi="仿宋" w:eastAsia="仿宋" w:cs="仿宋"/>
          <w:b/>
          <w:bCs/>
          <w:sz w:val="32"/>
          <w:szCs w:val="32"/>
        </w:rPr>
        <w:t>一、总体情况</w:t>
      </w:r>
    </w:p>
    <w:p>
      <w:pPr>
        <w:pStyle w:val="5"/>
        <w:widowControl/>
        <w:shd w:val="clear" w:color="auto" w:fill="FFFFFF"/>
        <w:spacing w:beforeAutospacing="0" w:afterAutospacing="0" w:line="324" w:lineRule="atLeast"/>
        <w:ind w:firstLine="640" w:firstLineChars="200"/>
        <w:jc w:val="both"/>
        <w:rPr>
          <w:rFonts w:ascii="仿宋" w:hAnsi="仿宋" w:eastAsia="仿宋" w:cs="仿宋"/>
          <w:sz w:val="32"/>
          <w:szCs w:val="32"/>
        </w:rPr>
      </w:pPr>
      <w:r>
        <w:rPr>
          <w:rFonts w:hint="eastAsia" w:ascii="仿宋" w:hAnsi="仿宋" w:eastAsia="仿宋" w:cs="仿宋"/>
          <w:sz w:val="32"/>
          <w:szCs w:val="32"/>
        </w:rPr>
        <w:t>202</w:t>
      </w:r>
      <w:r>
        <w:rPr>
          <w:rFonts w:ascii="仿宋" w:hAnsi="仿宋" w:eastAsia="仿宋" w:cs="仿宋"/>
          <w:sz w:val="32"/>
          <w:szCs w:val="32"/>
        </w:rPr>
        <w:t>3</w:t>
      </w:r>
      <w:r>
        <w:rPr>
          <w:rFonts w:hint="eastAsia" w:ascii="仿宋" w:hAnsi="仿宋" w:eastAsia="仿宋" w:cs="仿宋"/>
          <w:sz w:val="32"/>
          <w:szCs w:val="32"/>
        </w:rPr>
        <w:t>年，乌拉特前旗公安局严格按照国家、各级党委政府的工作部署，紧紧围绕增强工作的透明度，加强民主监督，密切与人民群众的联系，推行依法行政、优质行政、廉洁行政，进一步巩固政务公开成果，规范政务公开内容，创新政务公开形式，突出政务公开重点，提高政务公开水平，进一步提高政府治理和政务服务水平，进一步增强人民群众获得感和满意度。</w:t>
      </w:r>
    </w:p>
    <w:p>
      <w:pPr>
        <w:pStyle w:val="5"/>
        <w:widowControl/>
        <w:shd w:val="clear" w:color="auto" w:fill="FFFFFF"/>
        <w:spacing w:beforeAutospacing="0" w:afterAutospacing="0" w:line="324" w:lineRule="atLeast"/>
        <w:ind w:firstLine="321" w:firstLineChars="100"/>
        <w:jc w:val="both"/>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（一）主动公开情况</w:t>
      </w:r>
    </w:p>
    <w:p>
      <w:pPr>
        <w:pStyle w:val="5"/>
        <w:widowControl/>
        <w:spacing w:beforeAutospacing="0" w:afterAutospacing="0" w:line="600" w:lineRule="exact"/>
        <w:ind w:firstLine="960" w:firstLineChars="300"/>
        <w:jc w:val="both"/>
        <w:rPr>
          <w:rFonts w:hint="eastAsia" w:ascii="仿宋" w:hAnsi="仿宋" w:eastAsia="仿宋" w:cs="仿宋"/>
          <w:sz w:val="32"/>
          <w:szCs w:val="32"/>
        </w:rPr>
      </w:pPr>
      <w:r>
        <w:rPr>
          <w:rFonts w:hint="eastAsia" w:ascii="仿宋" w:hAnsi="仿宋" w:eastAsia="仿宋" w:cs="仿宋"/>
          <w:sz w:val="32"/>
          <w:szCs w:val="32"/>
        </w:rPr>
        <w:t>202</w:t>
      </w:r>
      <w:r>
        <w:rPr>
          <w:rFonts w:ascii="仿宋" w:hAnsi="仿宋" w:eastAsia="仿宋" w:cs="仿宋"/>
          <w:sz w:val="32"/>
          <w:szCs w:val="32"/>
        </w:rPr>
        <w:t>3</w:t>
      </w:r>
      <w:r>
        <w:rPr>
          <w:rFonts w:hint="eastAsia" w:ascii="仿宋" w:hAnsi="仿宋" w:eastAsia="仿宋" w:cs="仿宋"/>
          <w:sz w:val="32"/>
          <w:szCs w:val="32"/>
        </w:rPr>
        <w:t>年，按照旗委、政府的部署，乌拉特前旗公安局通过加强组织领导、健全规章制度、深化公开内容、完善信息公开渠道等举措，确保了我局政务公开呈现出领导有力、稳步推进、不断深化、良好发展的态势。截止202</w:t>
      </w:r>
      <w:r>
        <w:rPr>
          <w:rFonts w:ascii="仿宋" w:hAnsi="仿宋" w:eastAsia="仿宋" w:cs="仿宋"/>
          <w:sz w:val="32"/>
          <w:szCs w:val="32"/>
        </w:rPr>
        <w:t>3</w:t>
      </w:r>
      <w:r>
        <w:rPr>
          <w:rFonts w:hint="eastAsia" w:ascii="仿宋" w:hAnsi="仿宋" w:eastAsia="仿宋" w:cs="仿宋"/>
          <w:sz w:val="32"/>
          <w:szCs w:val="32"/>
        </w:rPr>
        <w:t>年12月31日，乌拉特前旗公安局利用乌拉特前旗人民政府门户网站等政务公开栏平台公开政务信息</w:t>
      </w:r>
      <w:r>
        <w:rPr>
          <w:rFonts w:ascii="仿宋" w:hAnsi="仿宋" w:eastAsia="仿宋" w:cs="仿宋"/>
          <w:sz w:val="32"/>
          <w:szCs w:val="32"/>
        </w:rPr>
        <w:t>289</w:t>
      </w:r>
      <w:r>
        <w:rPr>
          <w:rFonts w:hint="eastAsia" w:ascii="仿宋" w:hAnsi="仿宋" w:eastAsia="仿宋" w:cs="仿宋"/>
          <w:sz w:val="32"/>
          <w:szCs w:val="32"/>
        </w:rPr>
        <w:t>条；通过微信公众号、微博、抖音、今日头条号等发布信息</w:t>
      </w:r>
      <w:r>
        <w:rPr>
          <w:rFonts w:ascii="仿宋" w:hAnsi="仿宋" w:eastAsia="仿宋" w:cs="仿宋"/>
          <w:sz w:val="32"/>
          <w:szCs w:val="32"/>
        </w:rPr>
        <w:t>557</w:t>
      </w:r>
      <w:r>
        <w:rPr>
          <w:rFonts w:hint="eastAsia" w:ascii="仿宋" w:hAnsi="仿宋" w:eastAsia="仿宋" w:cs="仿宋"/>
          <w:sz w:val="32"/>
          <w:szCs w:val="32"/>
        </w:rPr>
        <w:t>条；依托警务执法公开系统，公开行政处罚决定书</w:t>
      </w:r>
      <w:r>
        <w:rPr>
          <w:rFonts w:ascii="仿宋" w:hAnsi="仿宋" w:eastAsia="仿宋" w:cs="仿宋"/>
          <w:sz w:val="32"/>
          <w:szCs w:val="32"/>
        </w:rPr>
        <w:t>852</w:t>
      </w:r>
      <w:r>
        <w:rPr>
          <w:rFonts w:hint="eastAsia" w:ascii="仿宋" w:hAnsi="仿宋" w:eastAsia="仿宋" w:cs="仿宋"/>
          <w:sz w:val="32"/>
          <w:szCs w:val="32"/>
        </w:rPr>
        <w:t>件，处理决定</w:t>
      </w:r>
      <w:r>
        <w:rPr>
          <w:rFonts w:ascii="仿宋" w:hAnsi="仿宋" w:eastAsia="仿宋" w:cs="仿宋"/>
          <w:sz w:val="32"/>
          <w:szCs w:val="32"/>
        </w:rPr>
        <w:t>889</w:t>
      </w:r>
      <w:r>
        <w:rPr>
          <w:rFonts w:hint="eastAsia" w:ascii="仿宋" w:hAnsi="仿宋" w:eastAsia="仿宋" w:cs="仿宋"/>
          <w:sz w:val="32"/>
          <w:szCs w:val="32"/>
        </w:rPr>
        <w:t>次。全年未收到网络类政府信息公开申请，未发生因政府信息公开引发的举报、投诉、行政复议和行政诉讼事件。</w:t>
      </w:r>
    </w:p>
    <w:p>
      <w:pPr>
        <w:pStyle w:val="5"/>
        <w:widowControl/>
        <w:shd w:val="clear" w:color="auto" w:fill="FFFFFF"/>
        <w:spacing w:beforeAutospacing="0" w:afterAutospacing="0" w:line="324" w:lineRule="atLeast"/>
        <w:ind w:left="336"/>
        <w:jc w:val="both"/>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（二）依申请公开情况</w:t>
      </w:r>
    </w:p>
    <w:p>
      <w:pPr>
        <w:pStyle w:val="5"/>
        <w:widowControl/>
        <w:wordWrap w:val="0"/>
        <w:topLinePunct/>
        <w:spacing w:beforeAutospacing="0" w:afterAutospacing="0" w:line="600" w:lineRule="exact"/>
        <w:ind w:firstLine="640" w:firstLineChars="200"/>
        <w:jc w:val="both"/>
        <w:rPr>
          <w:rFonts w:hint="eastAsia" w:ascii="仿宋" w:hAnsi="仿宋" w:eastAsia="仿宋" w:cs="仿宋"/>
          <w:b/>
          <w:bCs/>
          <w:color w:val="000000"/>
          <w:sz w:val="32"/>
          <w:szCs w:val="32"/>
          <w:shd w:val="clear" w:color="auto" w:fill="FFFFFF"/>
        </w:rPr>
      </w:pPr>
      <w:r>
        <w:rPr>
          <w:rFonts w:hint="eastAsia" w:ascii="仿宋" w:hAnsi="仿宋" w:eastAsia="仿宋" w:cs="仿宋"/>
          <w:sz w:val="32"/>
          <w:szCs w:val="32"/>
        </w:rPr>
        <w:t>2</w:t>
      </w:r>
      <w:r>
        <w:rPr>
          <w:rFonts w:ascii="仿宋" w:hAnsi="仿宋" w:eastAsia="仿宋" w:cs="仿宋"/>
          <w:sz w:val="32"/>
          <w:szCs w:val="32"/>
        </w:rPr>
        <w:t>023</w:t>
      </w:r>
      <w:r>
        <w:rPr>
          <w:rFonts w:hint="eastAsia" w:ascii="仿宋" w:hAnsi="仿宋" w:eastAsia="仿宋" w:cs="仿宋"/>
          <w:sz w:val="32"/>
          <w:szCs w:val="32"/>
        </w:rPr>
        <w:t>年旗公安局政府信息公开领导小组办公室严格按《乌拉特前旗公安局政府信息公开指南》要求受理政府信息公开申请，全年共收到1项申请公开事项，已严格履行“依申请公开信息”的公开程序受理、办理和反馈工作。</w:t>
      </w:r>
    </w:p>
    <w:p>
      <w:pPr>
        <w:pStyle w:val="5"/>
        <w:widowControl/>
        <w:shd w:val="clear" w:color="auto" w:fill="FFFFFF"/>
        <w:spacing w:beforeAutospacing="0" w:afterAutospacing="0" w:line="324" w:lineRule="atLeast"/>
        <w:ind w:left="336"/>
        <w:jc w:val="both"/>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（三）政府信息管理情况</w:t>
      </w:r>
    </w:p>
    <w:p>
      <w:pPr>
        <w:pStyle w:val="5"/>
        <w:widowControl/>
        <w:spacing w:beforeAutospacing="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政府信息管理情况。一是进一步规范政府信息发布和管理，确保信息发布准确、安全、高效，严格落实审核制度，加强信息发布审核把关。二是建立健全政府信息制作、公开、存档等制度，同时按照立改废的要求对规范性文件进行动态调整。</w:t>
      </w:r>
    </w:p>
    <w:p>
      <w:pPr>
        <w:pStyle w:val="5"/>
        <w:widowControl/>
        <w:shd w:val="clear" w:color="auto" w:fill="FFFFFF"/>
        <w:spacing w:beforeAutospacing="0" w:afterAutospacing="0" w:line="324" w:lineRule="atLeast"/>
        <w:ind w:left="336"/>
        <w:jc w:val="both"/>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（四）政府信息公开平台建设情况</w:t>
      </w:r>
    </w:p>
    <w:p>
      <w:pPr>
        <w:pStyle w:val="5"/>
        <w:widowControl/>
        <w:spacing w:beforeAutospacing="0" w:afterAutospacing="0"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作为政府信息公开平台的日常维护单位，旗公安局政务公开领导小组办公室根据旗政府办政务公开股的指导，完成了新政务信息公开平台的信息维护，完善了政务信息公开目录，确保做到便民、为民。</w:t>
      </w:r>
    </w:p>
    <w:p>
      <w:pPr>
        <w:pStyle w:val="5"/>
        <w:widowControl/>
        <w:shd w:val="clear" w:color="auto" w:fill="FFFFFF"/>
        <w:spacing w:beforeAutospacing="0" w:afterAutospacing="0" w:line="324" w:lineRule="atLeast"/>
        <w:ind w:left="336"/>
        <w:jc w:val="both"/>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（五）监督保障情况</w:t>
      </w:r>
    </w:p>
    <w:p>
      <w:pPr>
        <w:pStyle w:val="5"/>
        <w:widowControl/>
        <w:shd w:val="clear" w:color="auto" w:fill="FFFFFF"/>
        <w:spacing w:beforeAutospacing="0" w:afterAutospacing="0" w:line="324" w:lineRule="atLeast"/>
        <w:ind w:firstLine="336"/>
        <w:jc w:val="both"/>
        <w:rPr>
          <w:rFonts w:ascii="仿宋_GB2312" w:hAnsi="仿宋_GB2312" w:eastAsia="仿宋_GB2312" w:cs="仿宋_GB2312"/>
          <w:b/>
          <w:bCs/>
          <w:color w:val="000000"/>
          <w:sz w:val="32"/>
          <w:szCs w:val="32"/>
          <w:lang w:bidi="en-US"/>
        </w:rPr>
      </w:pPr>
      <w:r>
        <w:rPr>
          <w:rFonts w:hint="eastAsia" w:ascii="仿宋" w:hAnsi="仿宋" w:eastAsia="仿宋" w:cs="仿宋"/>
          <w:sz w:val="32"/>
          <w:szCs w:val="32"/>
        </w:rPr>
        <w:t>着眼于政务公开长效机制建设，切实加强政务公开组织领导，强化日常监督管理。结合上级工作部署，第一时间明确年度工作要点，制定实施年度工作计划，健全组织领导，明确工作职责，确立专人负责政务公开工作，确保了自上而下政务公开工作有人管、有人抓、有人做，形成了主要领导亲自抓，分管领导具体抓的良好工作局面。</w:t>
      </w:r>
    </w:p>
    <w:p>
      <w:pPr>
        <w:pStyle w:val="5"/>
        <w:widowControl/>
        <w:shd w:val="clear" w:color="auto" w:fill="FFFFFF"/>
        <w:spacing w:beforeAutospacing="0" w:afterAutospacing="0" w:line="324" w:lineRule="atLeast"/>
        <w:ind w:firstLine="643" w:firstLineChars="200"/>
        <w:jc w:val="both"/>
        <w:rPr>
          <w:rFonts w:ascii="仿宋_GB2312" w:hAnsi="仿宋_GB2312" w:eastAsia="仿宋_GB2312" w:cs="仿宋_GB2312"/>
          <w:b/>
          <w:bCs/>
          <w:color w:val="000000"/>
          <w:sz w:val="32"/>
          <w:szCs w:val="32"/>
          <w:lang w:bidi="en-US"/>
        </w:rPr>
      </w:pPr>
      <w:r>
        <w:rPr>
          <w:rFonts w:hint="eastAsia" w:ascii="仿宋_GB2312" w:hAnsi="仿宋_GB2312" w:eastAsia="仿宋_GB2312" w:cs="仿宋_GB2312"/>
          <w:b/>
          <w:bCs/>
          <w:color w:val="000000"/>
          <w:sz w:val="32"/>
          <w:szCs w:val="32"/>
          <w:lang w:bidi="en-US"/>
        </w:rPr>
        <w:t>二、主动公开政府信息情况</w:t>
      </w:r>
    </w:p>
    <w:tbl>
      <w:tblPr>
        <w:tblStyle w:val="6"/>
        <w:tblW w:w="7788" w:type="dxa"/>
        <w:jc w:val="center"/>
        <w:tblCellSpacing w:w="0" w:type="dxa"/>
        <w:tblLayout w:type="autofit"/>
        <w:tblCellMar>
          <w:top w:w="0" w:type="dxa"/>
          <w:left w:w="0" w:type="dxa"/>
          <w:bottom w:w="0" w:type="dxa"/>
          <w:right w:w="0" w:type="dxa"/>
        </w:tblCellMar>
      </w:tblPr>
      <w:tblGrid>
        <w:gridCol w:w="1944"/>
        <w:gridCol w:w="1944"/>
        <w:gridCol w:w="1944"/>
        <w:gridCol w:w="1956"/>
      </w:tblGrid>
      <w:tr>
        <w:tblPrEx>
          <w:tblCellMar>
            <w:top w:w="0" w:type="dxa"/>
            <w:left w:w="0" w:type="dxa"/>
            <w:bottom w:w="0" w:type="dxa"/>
            <w:right w:w="0" w:type="dxa"/>
          </w:tblCellMar>
        </w:tblPrEx>
        <w:trPr>
          <w:trHeight w:val="276" w:hRule="atLeast"/>
          <w:tblCellSpacing w:w="0" w:type="dxa"/>
          <w:jc w:val="center"/>
        </w:trPr>
        <w:tc>
          <w:tcPr>
            <w:tcW w:w="7788" w:type="dxa"/>
            <w:gridSpan w:val="4"/>
            <w:tcBorders>
              <w:top w:val="single" w:color="auto" w:sz="4" w:space="0"/>
              <w:left w:val="single" w:color="auto" w:sz="4" w:space="0"/>
              <w:bottom w:val="single" w:color="auto" w:sz="4" w:space="0"/>
              <w:right w:val="single" w:color="auto" w:sz="4" w:space="0"/>
            </w:tcBorders>
            <w:shd w:val="clear" w:color="auto" w:fill="C6D9F1"/>
            <w:tcMar>
              <w:left w:w="48" w:type="dxa"/>
              <w:right w:w="48" w:type="dxa"/>
            </w:tcMar>
            <w:vAlign w:val="center"/>
          </w:tcPr>
          <w:p>
            <w:pPr>
              <w:pStyle w:val="5"/>
              <w:widowControl/>
              <w:shd w:val="clear" w:color="auto" w:fill="FFFFFF"/>
              <w:spacing w:beforeAutospacing="0" w:afterAutospacing="0"/>
              <w:ind w:firstLine="336"/>
              <w:jc w:val="center"/>
              <w:rPr>
                <w:rFonts w:ascii="微软雅黑" w:hAnsi="微软雅黑" w:eastAsia="微软雅黑" w:cs="微软雅黑"/>
                <w:color w:val="333333"/>
                <w:sz w:val="16"/>
                <w:szCs w:val="16"/>
              </w:rPr>
            </w:pPr>
            <w:r>
              <w:rPr>
                <w:rFonts w:hint="eastAsia" w:ascii="宋体" w:hAnsi="宋体" w:cs="宋体"/>
                <w:color w:val="333333"/>
                <w:sz w:val="15"/>
                <w:szCs w:val="15"/>
              </w:rPr>
              <w:t>第二十条第（一）项</w:t>
            </w:r>
          </w:p>
        </w:tc>
      </w:tr>
      <w:tr>
        <w:tblPrEx>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信息内容</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本年制发件数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本年废止件数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现行有效件数</w:t>
            </w:r>
          </w:p>
        </w:tc>
      </w:tr>
      <w:tr>
        <w:tblPrEx>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规章</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Calibri" w:hAnsi="Calibri" w:cs="Calibri"/>
                <w:color w:val="333333"/>
                <w:sz w:val="16"/>
                <w:szCs w:val="16"/>
              </w:rPr>
              <w:t>0</w:t>
            </w:r>
          </w:p>
        </w:tc>
      </w:tr>
      <w:tr>
        <w:tblPrEx>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行政规范性文件</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Calibri" w:hAnsi="Calibri" w:cs="Calibri"/>
                <w:color w:val="333333"/>
                <w:sz w:val="16"/>
                <w:szCs w:val="16"/>
              </w:rPr>
              <w:t>0</w:t>
            </w:r>
          </w:p>
        </w:tc>
      </w:tr>
      <w:tr>
        <w:tblPrEx>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第二十条第（五）项</w:t>
            </w:r>
          </w:p>
        </w:tc>
      </w:tr>
      <w:tr>
        <w:tblPrEx>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信息内容</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本年处理决定数量</w:t>
            </w:r>
          </w:p>
        </w:tc>
      </w:tr>
      <w:tr>
        <w:tblPrEx>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行政许可</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Calibri" w:hAnsi="Calibri" w:cs="Calibri"/>
                <w:color w:val="333333"/>
                <w:sz w:val="16"/>
                <w:szCs w:val="16"/>
              </w:rPr>
              <w:t>41325</w:t>
            </w:r>
          </w:p>
        </w:tc>
      </w:tr>
      <w:tr>
        <w:tblPrEx>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第二十条第（六）项</w:t>
            </w:r>
          </w:p>
        </w:tc>
      </w:tr>
      <w:tr>
        <w:tblPrEx>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信息内容</w:t>
            </w:r>
          </w:p>
        </w:tc>
        <w:tc>
          <w:tcPr>
            <w:tcW w:w="5844" w:type="dxa"/>
            <w:gridSpan w:val="3"/>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本年处理决定数量</w:t>
            </w:r>
          </w:p>
        </w:tc>
      </w:tr>
      <w:tr>
        <w:tblPrEx>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行政处罚</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宋体" w:hAnsi="宋体" w:cs="宋体"/>
                <w:color w:val="333333"/>
                <w:sz w:val="15"/>
                <w:szCs w:val="15"/>
              </w:rPr>
              <w:t>852</w:t>
            </w:r>
          </w:p>
        </w:tc>
      </w:tr>
      <w:tr>
        <w:tblPrEx>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行政强制</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宋体" w:hAnsi="宋体" w:cs="宋体"/>
                <w:color w:val="333333"/>
                <w:sz w:val="15"/>
                <w:szCs w:val="15"/>
              </w:rPr>
              <w:t>435</w:t>
            </w:r>
          </w:p>
        </w:tc>
      </w:tr>
      <w:tr>
        <w:tblPrEx>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第二十条第（八）项</w:t>
            </w:r>
          </w:p>
        </w:tc>
      </w:tr>
      <w:tr>
        <w:tblPrEx>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信息内容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本年收费金额（单位：万元）</w:t>
            </w:r>
          </w:p>
        </w:tc>
      </w:tr>
      <w:tr>
        <w:tblPrEx>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行政事业性收费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0</w:t>
            </w:r>
          </w:p>
        </w:tc>
      </w:tr>
    </w:tbl>
    <w:p>
      <w:pPr>
        <w:pStyle w:val="5"/>
        <w:widowControl/>
        <w:shd w:val="clear" w:color="auto" w:fill="FFFFFF"/>
        <w:spacing w:beforeAutospacing="0" w:afterAutospacing="0"/>
        <w:rPr>
          <w:rFonts w:ascii="微软雅黑" w:hAnsi="微软雅黑" w:eastAsia="微软雅黑" w:cs="微软雅黑"/>
          <w:color w:val="333333"/>
          <w:sz w:val="16"/>
          <w:szCs w:val="16"/>
        </w:rPr>
      </w:pPr>
      <w:r>
        <w:rPr>
          <w:rFonts w:ascii="Times New Roman" w:hAnsi="Times New Roman" w:eastAsia="微软雅黑"/>
          <w:color w:val="333333"/>
          <w:sz w:val="16"/>
          <w:szCs w:val="16"/>
          <w:shd w:val="clear" w:color="auto" w:fill="FFFFFF"/>
        </w:rPr>
        <w:t> </w:t>
      </w:r>
    </w:p>
    <w:p>
      <w:pPr>
        <w:pStyle w:val="5"/>
        <w:widowControl/>
        <w:shd w:val="clear" w:color="auto" w:fill="FFFFFF"/>
        <w:spacing w:beforeAutospacing="0" w:afterAutospacing="0" w:line="324" w:lineRule="atLeast"/>
        <w:ind w:firstLine="643" w:firstLineChars="200"/>
        <w:jc w:val="both"/>
        <w:rPr>
          <w:rFonts w:ascii="仿宋_GB2312" w:hAnsi="仿宋_GB2312" w:eastAsia="仿宋_GB2312" w:cs="仿宋_GB2312"/>
          <w:b/>
          <w:bCs/>
          <w:color w:val="000000"/>
          <w:sz w:val="32"/>
          <w:szCs w:val="32"/>
          <w:lang w:bidi="en-US"/>
        </w:rPr>
      </w:pPr>
      <w:r>
        <w:rPr>
          <w:rFonts w:hint="eastAsia" w:ascii="仿宋_GB2312" w:hAnsi="仿宋_GB2312" w:eastAsia="仿宋_GB2312" w:cs="仿宋_GB2312"/>
          <w:b/>
          <w:bCs/>
          <w:color w:val="000000"/>
          <w:sz w:val="32"/>
          <w:szCs w:val="32"/>
          <w:lang w:bidi="en-US"/>
        </w:rPr>
        <w:t>三、收到和处理政府信息公开申请情况</w:t>
      </w:r>
    </w:p>
    <w:p>
      <w:pPr>
        <w:pStyle w:val="5"/>
        <w:widowControl/>
        <w:shd w:val="clear" w:color="auto" w:fill="FFFFFF"/>
        <w:spacing w:beforeAutospacing="0" w:afterAutospacing="0"/>
        <w:ind w:firstLine="336"/>
        <w:jc w:val="both"/>
        <w:rPr>
          <w:rFonts w:ascii="微软雅黑" w:hAnsi="微软雅黑" w:eastAsia="微软雅黑" w:cs="微软雅黑"/>
          <w:color w:val="333333"/>
          <w:sz w:val="18"/>
          <w:szCs w:val="18"/>
        </w:rPr>
      </w:pPr>
      <w:r>
        <w:rPr>
          <w:rFonts w:hint="eastAsia" w:ascii="宋体" w:hAnsi="宋体" w:cs="宋体"/>
          <w:color w:val="333333"/>
          <w:sz w:val="19"/>
          <w:szCs w:val="19"/>
          <w:shd w:val="clear" w:color="auto" w:fill="FFFFFF"/>
        </w:rPr>
        <w:t> </w:t>
      </w:r>
    </w:p>
    <w:tbl>
      <w:tblPr>
        <w:tblStyle w:val="6"/>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1"/>
        <w:gridCol w:w="755"/>
        <w:gridCol w:w="2574"/>
        <w:gridCol w:w="551"/>
        <w:gridCol w:w="551"/>
        <w:gridCol w:w="551"/>
        <w:gridCol w:w="551"/>
        <w:gridCol w:w="552"/>
        <w:gridCol w:w="552"/>
        <w:gridCol w:w="5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vMerge w:val="restart"/>
            <w:tcBorders>
              <w:top w:val="single" w:color="auto" w:sz="4" w:space="0"/>
              <w:left w:val="single" w:color="auto" w:sz="4" w:space="0"/>
              <w:bottom w:val="outset"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ascii="楷体" w:hAnsi="楷体" w:eastAsia="楷体" w:cs="楷体"/>
                <w:color w:val="333333"/>
                <w:sz w:val="15"/>
                <w:szCs w:val="15"/>
              </w:rPr>
              <w:t>（本列数据的勾稽关系为：第一项加第二项之和，等于第三项加第四项之和）</w:t>
            </w:r>
          </w:p>
        </w:tc>
        <w:tc>
          <w:tcPr>
            <w:tcW w:w="3852" w:type="dxa"/>
            <w:gridSpan w:val="7"/>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outset" w:color="auto" w:sz="4" w:space="0"/>
              <w:right w:val="single" w:color="auto" w:sz="4" w:space="0"/>
            </w:tcBorders>
            <w:shd w:val="clear" w:color="auto" w:fill="auto"/>
            <w:tcMar>
              <w:left w:w="84" w:type="dxa"/>
              <w:right w:w="84" w:type="dxa"/>
            </w:tcMar>
            <w:vAlign w:val="center"/>
          </w:tcPr>
          <w:p>
            <w:pPr>
              <w:rPr>
                <w:rFonts w:ascii="微软雅黑" w:hAnsi="微软雅黑" w:eastAsia="微软雅黑" w:cs="微软雅黑"/>
                <w:color w:val="333333"/>
                <w:sz w:val="24"/>
              </w:rPr>
            </w:pPr>
          </w:p>
        </w:tc>
        <w:tc>
          <w:tcPr>
            <w:tcW w:w="552" w:type="dxa"/>
            <w:vMerge w:val="restart"/>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自然人</w:t>
            </w:r>
          </w:p>
        </w:tc>
        <w:tc>
          <w:tcPr>
            <w:tcW w:w="2748" w:type="dxa"/>
            <w:gridSpan w:val="5"/>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法人或其他组织</w:t>
            </w:r>
          </w:p>
        </w:tc>
        <w:tc>
          <w:tcPr>
            <w:tcW w:w="552" w:type="dxa"/>
            <w:vMerge w:val="restart"/>
            <w:tcBorders>
              <w:top w:val="single" w:color="auto" w:sz="4" w:space="0"/>
              <w:left w:val="nil"/>
              <w:bottom w:val="outset"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outset" w:color="auto" w:sz="4" w:space="0"/>
              <w:right w:val="single" w:color="auto" w:sz="4" w:space="0"/>
            </w:tcBorders>
            <w:shd w:val="clear" w:color="auto" w:fill="auto"/>
            <w:tcMar>
              <w:left w:w="84" w:type="dxa"/>
              <w:right w:w="84" w:type="dxa"/>
            </w:tcMar>
            <w:vAlign w:val="center"/>
          </w:tcPr>
          <w:p>
            <w:pPr>
              <w:rPr>
                <w:rFonts w:ascii="微软雅黑" w:hAnsi="微软雅黑" w:eastAsia="微软雅黑" w:cs="微软雅黑"/>
                <w:color w:val="333333"/>
                <w:sz w:val="24"/>
              </w:rPr>
            </w:pPr>
          </w:p>
        </w:tc>
        <w:tc>
          <w:tcPr>
            <w:tcW w:w="552" w:type="dxa"/>
            <w:vMerge w:val="continue"/>
            <w:tcBorders>
              <w:top w:val="nil"/>
              <w:left w:val="nil"/>
              <w:bottom w:val="single" w:color="auto" w:sz="4" w:space="0"/>
              <w:right w:val="single" w:color="auto" w:sz="4" w:space="0"/>
            </w:tcBorders>
            <w:shd w:val="clear" w:color="auto" w:fill="auto"/>
            <w:tcMar>
              <w:left w:w="48" w:type="dxa"/>
              <w:right w:w="48" w:type="dxa"/>
            </w:tcMar>
            <w:vAlign w:val="center"/>
          </w:tcPr>
          <w:p>
            <w:pPr>
              <w:jc w:val="center"/>
              <w:rPr>
                <w:rFonts w:ascii="微软雅黑" w:hAnsi="微软雅黑" w:eastAsia="微软雅黑" w:cs="微软雅黑"/>
                <w:color w:val="333333"/>
                <w:sz w:val="24"/>
              </w:rPr>
            </w:pP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商业</w:t>
            </w:r>
          </w:p>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企业</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科研</w:t>
            </w:r>
          </w:p>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机构</w:t>
            </w:r>
          </w:p>
        </w:tc>
        <w:tc>
          <w:tcPr>
            <w:tcW w:w="552"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社会公益组织</w:t>
            </w:r>
          </w:p>
        </w:tc>
        <w:tc>
          <w:tcPr>
            <w:tcW w:w="552"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法律服务机构</w:t>
            </w:r>
          </w:p>
        </w:tc>
        <w:tc>
          <w:tcPr>
            <w:tcW w:w="552"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其他</w:t>
            </w:r>
          </w:p>
        </w:tc>
        <w:tc>
          <w:tcPr>
            <w:tcW w:w="552" w:type="dxa"/>
            <w:vMerge w:val="continue"/>
            <w:tcBorders>
              <w:top w:val="single" w:color="auto" w:sz="4" w:space="0"/>
              <w:left w:val="nil"/>
              <w:bottom w:val="outset" w:color="auto" w:sz="4" w:space="0"/>
              <w:right w:val="single" w:color="auto" w:sz="4" w:space="0"/>
            </w:tcBorders>
            <w:shd w:val="clear" w:color="auto" w:fill="auto"/>
            <w:tcMar>
              <w:left w:w="48" w:type="dxa"/>
              <w:right w:w="48" w:type="dxa"/>
            </w:tcMar>
            <w:vAlign w:val="center"/>
          </w:tcPr>
          <w:p>
            <w:pPr>
              <w:jc w:val="center"/>
              <w:rPr>
                <w:rFonts w:ascii="微软雅黑" w:hAnsi="微软雅黑" w:eastAsia="微软雅黑" w:cs="微软雅黑"/>
                <w:color w:val="333333"/>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一、本年新收政府信息公开申请数量</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1</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二、上年结转政府信息公开申请数量</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restart"/>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三、本年度办理结果</w:t>
            </w:r>
          </w:p>
        </w:tc>
        <w:tc>
          <w:tcPr>
            <w:tcW w:w="3336" w:type="dxa"/>
            <w:gridSpan w:val="2"/>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（一）予以公开</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3336" w:type="dxa"/>
            <w:gridSpan w:val="2"/>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（二）部分公开</w:t>
            </w:r>
            <w:r>
              <w:rPr>
                <w:rFonts w:hint="eastAsia" w:ascii="楷体" w:hAnsi="楷体" w:eastAsia="楷体" w:cs="楷体"/>
                <w:color w:val="333333"/>
                <w:sz w:val="15"/>
                <w:szCs w:val="15"/>
              </w:rPr>
              <w:t>（区分处理的，只计这一情形，不计其他情形）</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756" w:type="dxa"/>
            <w:vMerge w:val="restart"/>
            <w:tcBorders>
              <w:top w:val="nil"/>
              <w:left w:val="nil"/>
              <w:bottom w:val="outset"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（三）不予公开</w:t>
            </w: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1.属于国家秘密</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2.其他法律行政法规禁止公开</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3.危及“三安全一稳定”</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4.保护第三方合法权益</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1</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5.属于三类内部事务信息</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6.属于四类过程性信息</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7.属于行政执法案卷</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8.属于行政查询事项</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756" w:type="dxa"/>
            <w:vMerge w:val="restart"/>
            <w:tcBorders>
              <w:top w:val="nil"/>
              <w:left w:val="nil"/>
              <w:bottom w:val="outset"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（四）无法提供</w:t>
            </w: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1.本机关不掌握相关政府信息</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2.没有现成信息需要另行制作</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3.补正后申请内容仍不明确</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756" w:type="dxa"/>
            <w:vMerge w:val="restart"/>
            <w:tcBorders>
              <w:top w:val="nil"/>
              <w:left w:val="nil"/>
              <w:bottom w:val="outset"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（五）不予处理</w:t>
            </w: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1.信访举报投诉类申请</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2.重复申请</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3.要求提供公开出版物</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4.无正当理由大量反复申请</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2580" w:type="dxa"/>
            <w:tcBorders>
              <w:top w:val="nil"/>
              <w:left w:val="nil"/>
              <w:bottom w:val="outset"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5.要求行政机关确认或重新出具已获取信息</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outset"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756" w:type="dxa"/>
            <w:vMerge w:val="restart"/>
            <w:tcBorders>
              <w:top w:val="nil"/>
              <w:left w:val="nil"/>
              <w:bottom w:val="outset"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（六）其他处理</w:t>
            </w: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1.申请人无正当理由逾期不补正、行政机关不再处理其政府信息公开申请</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2.申请人逾期未按收费通知要求缴纳费用、行政机关不再处理其政府信息公开申请</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756" w:type="dxa"/>
            <w:vMerge w:val="continue"/>
            <w:tcBorders>
              <w:top w:val="nil"/>
              <w:left w:val="nil"/>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2580"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3.其他</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nil"/>
              <w:left w:val="single" w:color="auto" w:sz="4" w:space="0"/>
              <w:bottom w:val="outset" w:color="auto" w:sz="4" w:space="0"/>
              <w:right w:val="single" w:color="auto" w:sz="4" w:space="0"/>
            </w:tcBorders>
            <w:shd w:val="clear" w:color="auto" w:fill="auto"/>
            <w:tcMar>
              <w:left w:w="48" w:type="dxa"/>
              <w:right w:w="48" w:type="dxa"/>
            </w:tcMar>
            <w:vAlign w:val="center"/>
          </w:tcPr>
          <w:p>
            <w:pPr>
              <w:rPr>
                <w:rFonts w:ascii="微软雅黑" w:hAnsi="微软雅黑" w:eastAsia="微软雅黑" w:cs="微软雅黑"/>
                <w:color w:val="333333"/>
                <w:sz w:val="24"/>
              </w:rPr>
            </w:pPr>
          </w:p>
        </w:tc>
        <w:tc>
          <w:tcPr>
            <w:tcW w:w="3336" w:type="dxa"/>
            <w:gridSpan w:val="2"/>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（七）总计</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1</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both"/>
              <w:rPr>
                <w:rFonts w:ascii="微软雅黑" w:hAnsi="微软雅黑" w:eastAsia="微软雅黑" w:cs="微软雅黑"/>
                <w:color w:val="333333"/>
                <w:sz w:val="16"/>
                <w:szCs w:val="16"/>
              </w:rPr>
            </w:pPr>
            <w:r>
              <w:rPr>
                <w:rFonts w:hint="eastAsia" w:ascii="宋体" w:hAnsi="宋体" w:cs="宋体"/>
                <w:color w:val="333333"/>
                <w:sz w:val="15"/>
                <w:szCs w:val="15"/>
              </w:rPr>
              <w:t>四、结转下年度继续办理</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Times New Roman" w:hAnsi="Times New Roman"/>
                <w:color w:val="333333"/>
                <w:sz w:val="16"/>
                <w:szCs w:val="16"/>
              </w:rPr>
              <w:t>0</w:t>
            </w:r>
          </w:p>
        </w:tc>
        <w:tc>
          <w:tcPr>
            <w:tcW w:w="552"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9"/>
                <w:szCs w:val="19"/>
              </w:rPr>
              <w:t>0</w:t>
            </w:r>
          </w:p>
        </w:tc>
      </w:tr>
    </w:tbl>
    <w:p>
      <w:pPr>
        <w:pStyle w:val="5"/>
        <w:widowControl/>
        <w:shd w:val="clear" w:color="auto" w:fill="FFFFFF"/>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9"/>
          <w:szCs w:val="19"/>
          <w:shd w:val="clear" w:color="auto" w:fill="FFFFFF"/>
        </w:rPr>
        <w:t> </w:t>
      </w:r>
    </w:p>
    <w:p>
      <w:pPr>
        <w:pStyle w:val="5"/>
        <w:widowControl/>
        <w:shd w:val="clear" w:color="auto" w:fill="FFFFFF"/>
        <w:spacing w:beforeAutospacing="0" w:afterAutospacing="0" w:line="324" w:lineRule="atLeast"/>
        <w:ind w:firstLine="643" w:firstLineChars="200"/>
        <w:jc w:val="both"/>
        <w:rPr>
          <w:rFonts w:ascii="仿宋_GB2312" w:hAnsi="仿宋_GB2312" w:eastAsia="仿宋_GB2312" w:cs="仿宋_GB2312"/>
          <w:b/>
          <w:bCs/>
          <w:color w:val="000000"/>
          <w:sz w:val="32"/>
          <w:szCs w:val="32"/>
          <w:lang w:bidi="en-US"/>
        </w:rPr>
      </w:pPr>
      <w:bookmarkStart w:id="0" w:name="_GoBack"/>
      <w:bookmarkEnd w:id="0"/>
      <w:r>
        <w:rPr>
          <w:rFonts w:hint="eastAsia" w:ascii="仿宋_GB2312" w:hAnsi="仿宋_GB2312" w:eastAsia="仿宋_GB2312" w:cs="仿宋_GB2312"/>
          <w:b/>
          <w:bCs/>
          <w:color w:val="000000"/>
          <w:sz w:val="32"/>
          <w:szCs w:val="32"/>
          <w:lang w:bidi="en-US"/>
        </w:rPr>
        <w:t>四、政府信息公开行政复议、行政诉讼情况</w:t>
      </w:r>
    </w:p>
    <w:p>
      <w:pPr>
        <w:pStyle w:val="5"/>
        <w:widowControl/>
        <w:shd w:val="clear" w:color="auto" w:fill="FFFFFF"/>
        <w:spacing w:beforeAutospacing="0" w:afterAutospacing="0" w:line="324" w:lineRule="atLeast"/>
        <w:ind w:firstLine="336"/>
        <w:jc w:val="both"/>
        <w:rPr>
          <w:rFonts w:ascii="微软雅黑" w:hAnsi="微软雅黑" w:eastAsia="微软雅黑" w:cs="微软雅黑"/>
          <w:color w:val="333333"/>
          <w:sz w:val="18"/>
          <w:szCs w:val="18"/>
        </w:rPr>
      </w:pPr>
    </w:p>
    <w:tbl>
      <w:tblPr>
        <w:tblStyle w:val="6"/>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6"/>
        <w:gridCol w:w="516"/>
        <w:gridCol w:w="516"/>
        <w:gridCol w:w="516"/>
        <w:gridCol w:w="528"/>
        <w:gridCol w:w="516"/>
        <w:gridCol w:w="516"/>
        <w:gridCol w:w="516"/>
        <w:gridCol w:w="516"/>
        <w:gridCol w:w="540"/>
        <w:gridCol w:w="516"/>
        <w:gridCol w:w="516"/>
        <w:gridCol w:w="516"/>
        <w:gridCol w:w="516"/>
        <w:gridCol w:w="5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592" w:type="dxa"/>
            <w:gridSpan w:val="5"/>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行政复议</w:t>
            </w:r>
          </w:p>
        </w:tc>
        <w:tc>
          <w:tcPr>
            <w:tcW w:w="5208" w:type="dxa"/>
            <w:gridSpan w:val="10"/>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16" w:type="dxa"/>
            <w:vMerge w:val="restar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结果维持</w:t>
            </w:r>
          </w:p>
        </w:tc>
        <w:tc>
          <w:tcPr>
            <w:tcW w:w="516" w:type="dxa"/>
            <w:vMerge w:val="restart"/>
            <w:tcBorders>
              <w:top w:val="nil"/>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结果</w:t>
            </w:r>
            <w:r>
              <w:rPr>
                <w:rFonts w:hint="eastAsia" w:ascii="微软雅黑" w:hAnsi="微软雅黑" w:eastAsia="微软雅黑" w:cs="微软雅黑"/>
                <w:color w:val="333333"/>
                <w:sz w:val="15"/>
                <w:szCs w:val="15"/>
              </w:rPr>
              <w:br w:type="textWrapping"/>
            </w:r>
            <w:r>
              <w:rPr>
                <w:rFonts w:hint="eastAsia" w:ascii="宋体" w:hAnsi="宋体" w:cs="宋体"/>
                <w:color w:val="333333"/>
                <w:sz w:val="15"/>
                <w:szCs w:val="15"/>
              </w:rPr>
              <w:t>纠正</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其他</w:t>
            </w:r>
            <w:r>
              <w:rPr>
                <w:rFonts w:hint="eastAsia" w:ascii="微软雅黑" w:hAnsi="微软雅黑" w:eastAsia="微软雅黑" w:cs="微软雅黑"/>
                <w:color w:val="333333"/>
                <w:sz w:val="15"/>
                <w:szCs w:val="15"/>
              </w:rPr>
              <w:br w:type="textWrapping"/>
            </w:r>
            <w:r>
              <w:rPr>
                <w:rFonts w:hint="eastAsia" w:ascii="宋体" w:hAnsi="宋体" w:cs="宋体"/>
                <w:color w:val="333333"/>
                <w:sz w:val="15"/>
                <w:szCs w:val="15"/>
              </w:rPr>
              <w:t>结果</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尚未</w:t>
            </w:r>
            <w:r>
              <w:rPr>
                <w:rFonts w:hint="eastAsia" w:ascii="微软雅黑" w:hAnsi="微软雅黑" w:eastAsia="微软雅黑" w:cs="微软雅黑"/>
                <w:color w:val="333333"/>
                <w:sz w:val="15"/>
                <w:szCs w:val="15"/>
              </w:rPr>
              <w:br w:type="textWrapping"/>
            </w:r>
            <w:r>
              <w:rPr>
                <w:rFonts w:hint="eastAsia" w:ascii="宋体" w:hAnsi="宋体" w:cs="宋体"/>
                <w:color w:val="333333"/>
                <w:sz w:val="15"/>
                <w:szCs w:val="15"/>
              </w:rPr>
              <w:t>审结</w:t>
            </w:r>
          </w:p>
        </w:tc>
        <w:tc>
          <w:tcPr>
            <w:tcW w:w="528"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总计</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未经复议直接起诉</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16"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ascii="微软雅黑" w:hAnsi="微软雅黑" w:eastAsia="微软雅黑" w:cs="微软雅黑"/>
                <w:color w:val="333333"/>
                <w:sz w:val="24"/>
              </w:rPr>
            </w:pPr>
          </w:p>
        </w:tc>
        <w:tc>
          <w:tcPr>
            <w:tcW w:w="516" w:type="dxa"/>
            <w:vMerge w:val="continue"/>
            <w:tcBorders>
              <w:top w:val="nil"/>
              <w:left w:val="nil"/>
              <w:bottom w:val="single" w:color="auto" w:sz="4" w:space="0"/>
              <w:right w:val="single" w:color="auto" w:sz="4" w:space="0"/>
            </w:tcBorders>
            <w:shd w:val="clear" w:color="auto" w:fill="auto"/>
            <w:tcMar>
              <w:left w:w="84" w:type="dxa"/>
              <w:right w:w="84" w:type="dxa"/>
            </w:tcMar>
            <w:vAlign w:val="center"/>
          </w:tcPr>
          <w:p>
            <w:pPr>
              <w:rPr>
                <w:rFonts w:ascii="微软雅黑" w:hAnsi="微软雅黑" w:eastAsia="微软雅黑" w:cs="微软雅黑"/>
                <w:color w:val="333333"/>
                <w:sz w:val="24"/>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ascii="微软雅黑" w:hAnsi="微软雅黑" w:eastAsia="微软雅黑" w:cs="微软雅黑"/>
                <w:color w:val="333333"/>
                <w:sz w:val="24"/>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ascii="微软雅黑" w:hAnsi="微软雅黑" w:eastAsia="微软雅黑" w:cs="微软雅黑"/>
                <w:color w:val="333333"/>
                <w:sz w:val="24"/>
              </w:rPr>
            </w:pPr>
          </w:p>
        </w:tc>
        <w:tc>
          <w:tcPr>
            <w:tcW w:w="528"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ascii="微软雅黑" w:hAnsi="微软雅黑" w:eastAsia="微软雅黑" w:cs="微软雅黑"/>
                <w:color w:val="333333"/>
                <w:sz w:val="24"/>
              </w:rPr>
            </w:pP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结果</w:t>
            </w:r>
            <w:r>
              <w:rPr>
                <w:rFonts w:hint="eastAsia" w:ascii="微软雅黑" w:hAnsi="微软雅黑" w:eastAsia="微软雅黑" w:cs="微软雅黑"/>
                <w:color w:val="333333"/>
                <w:sz w:val="15"/>
                <w:szCs w:val="15"/>
              </w:rPr>
              <w:br w:type="textWrapping"/>
            </w:r>
            <w:r>
              <w:rPr>
                <w:rFonts w:hint="eastAsia" w:ascii="宋体" w:hAnsi="宋体" w:cs="宋体"/>
                <w:color w:val="333333"/>
                <w:sz w:val="15"/>
                <w:szCs w:val="15"/>
              </w:rPr>
              <w:t>维持</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结果</w:t>
            </w:r>
            <w:r>
              <w:rPr>
                <w:rFonts w:hint="eastAsia" w:ascii="微软雅黑" w:hAnsi="微软雅黑" w:eastAsia="微软雅黑" w:cs="微软雅黑"/>
                <w:color w:val="333333"/>
                <w:sz w:val="15"/>
                <w:szCs w:val="15"/>
              </w:rPr>
              <w:br w:type="textWrapping"/>
            </w:r>
            <w:r>
              <w:rPr>
                <w:rFonts w:hint="eastAsia" w:ascii="宋体" w:hAnsi="宋体" w:cs="宋体"/>
                <w:color w:val="333333"/>
                <w:sz w:val="15"/>
                <w:szCs w:val="15"/>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其他</w:t>
            </w:r>
            <w:r>
              <w:rPr>
                <w:rFonts w:hint="eastAsia" w:ascii="微软雅黑" w:hAnsi="微软雅黑" w:eastAsia="微软雅黑" w:cs="微软雅黑"/>
                <w:color w:val="333333"/>
                <w:sz w:val="15"/>
                <w:szCs w:val="15"/>
              </w:rPr>
              <w:br w:type="textWrapping"/>
            </w:r>
            <w:r>
              <w:rPr>
                <w:rFonts w:hint="eastAsia" w:ascii="宋体" w:hAnsi="宋体" w:cs="宋体"/>
                <w:color w:val="333333"/>
                <w:sz w:val="15"/>
                <w:szCs w:val="15"/>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尚未</w:t>
            </w:r>
            <w:r>
              <w:rPr>
                <w:rFonts w:hint="eastAsia" w:ascii="微软雅黑" w:hAnsi="微软雅黑" w:eastAsia="微软雅黑" w:cs="微软雅黑"/>
                <w:color w:val="333333"/>
                <w:sz w:val="15"/>
                <w:szCs w:val="15"/>
              </w:rPr>
              <w:br w:type="textWrapping"/>
            </w:r>
            <w:r>
              <w:rPr>
                <w:rFonts w:hint="eastAsia" w:ascii="宋体" w:hAnsi="宋体" w:cs="宋体"/>
                <w:color w:val="333333"/>
                <w:sz w:val="15"/>
                <w:szCs w:val="15"/>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总计</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结果</w:t>
            </w:r>
            <w:r>
              <w:rPr>
                <w:rFonts w:hint="eastAsia" w:ascii="微软雅黑" w:hAnsi="微软雅黑" w:eastAsia="微软雅黑" w:cs="微软雅黑"/>
                <w:color w:val="333333"/>
                <w:sz w:val="15"/>
                <w:szCs w:val="15"/>
              </w:rPr>
              <w:br w:type="textWrapping"/>
            </w:r>
            <w:r>
              <w:rPr>
                <w:rFonts w:hint="eastAsia" w:ascii="宋体" w:hAnsi="宋体" w:cs="宋体"/>
                <w:color w:val="333333"/>
                <w:sz w:val="15"/>
                <w:szCs w:val="15"/>
              </w:rPr>
              <w:t>维持</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结果</w:t>
            </w:r>
            <w:r>
              <w:rPr>
                <w:rFonts w:hint="eastAsia" w:ascii="微软雅黑" w:hAnsi="微软雅黑" w:eastAsia="微软雅黑" w:cs="微软雅黑"/>
                <w:color w:val="333333"/>
                <w:sz w:val="15"/>
                <w:szCs w:val="15"/>
              </w:rPr>
              <w:br w:type="textWrapping"/>
            </w:r>
            <w:r>
              <w:rPr>
                <w:rFonts w:hint="eastAsia" w:ascii="宋体" w:hAnsi="宋体" w:cs="宋体"/>
                <w:color w:val="333333"/>
                <w:sz w:val="15"/>
                <w:szCs w:val="15"/>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其他</w:t>
            </w:r>
            <w:r>
              <w:rPr>
                <w:rFonts w:hint="eastAsia" w:ascii="微软雅黑" w:hAnsi="微软雅黑" w:eastAsia="微软雅黑" w:cs="微软雅黑"/>
                <w:color w:val="333333"/>
                <w:sz w:val="15"/>
                <w:szCs w:val="15"/>
              </w:rPr>
              <w:br w:type="textWrapping"/>
            </w:r>
            <w:r>
              <w:rPr>
                <w:rFonts w:hint="eastAsia" w:ascii="宋体" w:hAnsi="宋体" w:cs="宋体"/>
                <w:color w:val="333333"/>
                <w:sz w:val="15"/>
                <w:szCs w:val="15"/>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尚未</w:t>
            </w:r>
            <w:r>
              <w:rPr>
                <w:rFonts w:hint="eastAsia" w:ascii="微软雅黑" w:hAnsi="微软雅黑" w:eastAsia="微软雅黑" w:cs="微软雅黑"/>
                <w:color w:val="333333"/>
                <w:sz w:val="15"/>
                <w:szCs w:val="15"/>
              </w:rPr>
              <w:br w:type="textWrapping"/>
            </w:r>
            <w:r>
              <w:rPr>
                <w:rFonts w:hint="eastAsia" w:ascii="宋体" w:hAnsi="宋体" w:cs="宋体"/>
                <w:color w:val="333333"/>
                <w:sz w:val="15"/>
                <w:szCs w:val="15"/>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tblCellSpacing w:w="0" w:type="dxa"/>
          <w:jc w:val="center"/>
        </w:trPr>
        <w:tc>
          <w:tcPr>
            <w:tcW w:w="516"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宋体" w:hAnsi="宋体" w:cs="宋体"/>
                <w:color w:val="333333"/>
                <w:sz w:val="15"/>
                <w:szCs w:val="15"/>
              </w:rPr>
              <w:t>1</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0</w:t>
            </w:r>
          </w:p>
        </w:tc>
        <w:tc>
          <w:tcPr>
            <w:tcW w:w="528"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ascii="宋体" w:hAnsi="宋体" w:cs="宋体"/>
                <w:color w:val="333333"/>
                <w:sz w:val="15"/>
                <w:szCs w:val="15"/>
              </w:rPr>
              <w:t>1</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5"/>
              <w:widowControl/>
              <w:spacing w:beforeAutospacing="0" w:afterAutospacing="0"/>
              <w:jc w:val="center"/>
              <w:rPr>
                <w:rFonts w:ascii="微软雅黑" w:hAnsi="微软雅黑" w:eastAsia="微软雅黑" w:cs="微软雅黑"/>
                <w:color w:val="333333"/>
                <w:sz w:val="16"/>
                <w:szCs w:val="16"/>
              </w:rPr>
            </w:pPr>
            <w:r>
              <w:rPr>
                <w:rFonts w:hint="eastAsia" w:ascii="宋体" w:hAnsi="宋体" w:cs="宋体"/>
                <w:color w:val="333333"/>
                <w:sz w:val="15"/>
                <w:szCs w:val="15"/>
              </w:rPr>
              <w:t>0</w:t>
            </w:r>
          </w:p>
        </w:tc>
      </w:tr>
    </w:tbl>
    <w:p>
      <w:pPr>
        <w:widowControl/>
        <w:numPr>
          <w:numId w:val="0"/>
        </w:numPr>
        <w:shd w:val="clear" w:color="auto" w:fill="FFFFFF"/>
        <w:spacing w:line="600" w:lineRule="atLeast"/>
        <w:ind w:firstLine="643" w:firstLineChars="200"/>
        <w:textAlignment w:val="baseline"/>
        <w:rPr>
          <w:rFonts w:hint="eastAsia" w:ascii="仿宋" w:hAnsi="仿宋" w:eastAsia="仿宋" w:cs="仿宋"/>
          <w:b/>
          <w:bCs/>
          <w:color w:val="000000"/>
          <w:kern w:val="0"/>
          <w:sz w:val="32"/>
          <w:szCs w:val="32"/>
          <w:shd w:val="clear" w:color="auto" w:fill="FFFFFF"/>
          <w:lang w:eastAsia="zh-CN" w:bidi="ar"/>
        </w:rPr>
      </w:pPr>
      <w:r>
        <w:rPr>
          <w:rFonts w:hint="eastAsia" w:ascii="仿宋" w:hAnsi="仿宋" w:eastAsia="仿宋" w:cs="仿宋"/>
          <w:b/>
          <w:bCs/>
          <w:color w:val="000000"/>
          <w:kern w:val="0"/>
          <w:sz w:val="32"/>
          <w:szCs w:val="32"/>
          <w:shd w:val="clear" w:color="auto" w:fill="FFFFFF"/>
          <w:lang w:val="en-US" w:eastAsia="zh-CN" w:bidi="ar"/>
        </w:rPr>
        <w:t>五、</w:t>
      </w:r>
      <w:r>
        <w:rPr>
          <w:rFonts w:hint="eastAsia" w:ascii="仿宋" w:hAnsi="仿宋" w:eastAsia="仿宋" w:cs="仿宋"/>
          <w:b/>
          <w:bCs/>
          <w:color w:val="000000"/>
          <w:kern w:val="0"/>
          <w:sz w:val="32"/>
          <w:szCs w:val="32"/>
          <w:shd w:val="clear" w:color="auto" w:fill="FFFFFF"/>
          <w:lang w:bidi="ar"/>
        </w:rPr>
        <w:t>存在的主要问题及改进</w:t>
      </w:r>
      <w:r>
        <w:rPr>
          <w:rFonts w:hint="eastAsia" w:ascii="仿宋" w:hAnsi="仿宋" w:eastAsia="仿宋" w:cs="仿宋"/>
          <w:b/>
          <w:bCs/>
          <w:color w:val="000000"/>
          <w:kern w:val="0"/>
          <w:sz w:val="32"/>
          <w:szCs w:val="32"/>
          <w:shd w:val="clear" w:color="auto" w:fill="FFFFFF"/>
          <w:lang w:val="en-US" w:eastAsia="zh-CN" w:bidi="ar"/>
        </w:rPr>
        <w:t>情况</w:t>
      </w:r>
    </w:p>
    <w:p>
      <w:pPr>
        <w:widowControl/>
        <w:shd w:val="clear" w:color="auto" w:fill="FFFFFF"/>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一</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存在的问题。</w:t>
      </w:r>
      <w:r>
        <w:rPr>
          <w:rFonts w:hint="eastAsia" w:ascii="仿宋" w:hAnsi="仿宋" w:eastAsia="仿宋" w:cs="仿宋"/>
          <w:kern w:val="0"/>
          <w:sz w:val="32"/>
          <w:szCs w:val="32"/>
        </w:rPr>
        <w:t>202</w:t>
      </w:r>
      <w:r>
        <w:rPr>
          <w:rFonts w:ascii="仿宋" w:hAnsi="仿宋" w:eastAsia="仿宋" w:cs="仿宋"/>
          <w:kern w:val="0"/>
          <w:sz w:val="32"/>
          <w:szCs w:val="32"/>
        </w:rPr>
        <w:t>3</w:t>
      </w:r>
      <w:r>
        <w:rPr>
          <w:rFonts w:hint="eastAsia" w:ascii="仿宋" w:hAnsi="仿宋" w:eastAsia="仿宋" w:cs="仿宋"/>
          <w:kern w:val="0"/>
          <w:sz w:val="32"/>
          <w:szCs w:val="32"/>
        </w:rPr>
        <w:t>年，公安局政府信息公开工作总体上运行良好，但工作中还存在信息公开的工作效率有待提高、时效性有待增强、规范性有待提升等问题。</w:t>
      </w:r>
    </w:p>
    <w:p>
      <w:pPr>
        <w:widowControl/>
        <w:shd w:val="clear" w:color="auto" w:fill="FFFFFF"/>
        <w:spacing w:line="480" w:lineRule="atLeast"/>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改进措施。</w:t>
      </w:r>
    </w:p>
    <w:p>
      <w:pPr>
        <w:widowControl/>
        <w:shd w:val="clear" w:color="auto" w:fill="FFFFFF"/>
        <w:spacing w:line="480" w:lineRule="atLeas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一、提高站位，主动谋划，进一步提升主动公开质量。紧紧围绕全旗发展大局和旗委旗政府中心工作，聚焦保障和改善民生、经济和社会发展、优化营商环境等人民群众关注关心的重点问题，提前谋划，主动作为，最大限度发挥政务公开保障人民群众知情权、参与权、表达权和监督权。扩展公开渠道，加强与新闻媒体合作，以公开促服务、以公开促法治，总结公开经验、规范公开标准、增强公开实效，切实提升政务公开的质量和水平。</w:t>
      </w:r>
    </w:p>
    <w:p>
      <w:pPr>
        <w:widowControl/>
        <w:shd w:val="clear" w:color="auto" w:fill="FFFFFF"/>
        <w:spacing w:line="48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二、坚持以人民为中心，进一步提升公开服务质量。以政府数字化转型为契机，以改革创新破除制约政府信息共享，进一步提高政务公开信息化集中化智能化水平。运用多种媒介加大政务公开宣传力度，让广大人民群众熟悉政务公开知识，提高公安局政务公开水平。</w:t>
      </w:r>
    </w:p>
    <w:p>
      <w:pPr>
        <w:widowControl/>
        <w:shd w:val="clear" w:color="auto" w:fill="FFFFFF"/>
        <w:spacing w:line="480"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三、加强培训，用好载体，提升政策解读水平。积极开展政务公开学习培训工作，不断提升公开整体工作水平。对涉及群众切身利益、影响社会稳定等重要政策，善于借助媒体力量，实事求是、有的放矢开展政策解读，做好沟通工作，确保政务公开工作有力有序有效推进落实，提升政策解读水平，扩大公众受益面。</w:t>
      </w:r>
    </w:p>
    <w:p>
      <w:pPr>
        <w:widowControl/>
        <w:shd w:val="clear" w:color="auto" w:fill="FFFFFF"/>
        <w:ind w:firstLine="643" w:firstLineChars="200"/>
        <w:jc w:val="left"/>
        <w:rPr>
          <w:rFonts w:ascii="仿宋" w:hAnsi="仿宋" w:eastAsia="仿宋" w:cs="仿宋"/>
          <w:b/>
          <w:bCs/>
          <w:color w:val="000000"/>
          <w:kern w:val="0"/>
          <w:sz w:val="32"/>
          <w:szCs w:val="32"/>
          <w:shd w:val="clear" w:color="auto" w:fill="FFFFFF"/>
          <w:lang w:bidi="ar"/>
        </w:rPr>
      </w:pPr>
      <w:r>
        <w:rPr>
          <w:rFonts w:hint="eastAsia" w:ascii="仿宋" w:hAnsi="仿宋" w:eastAsia="仿宋" w:cs="仿宋"/>
          <w:b/>
          <w:bCs/>
          <w:color w:val="000000"/>
          <w:kern w:val="0"/>
          <w:sz w:val="32"/>
          <w:szCs w:val="32"/>
          <w:shd w:val="clear" w:color="auto" w:fill="FFFFFF"/>
          <w:lang w:bidi="ar"/>
        </w:rPr>
        <w:t>六、其他需要报告的事项</w:t>
      </w:r>
    </w:p>
    <w:p>
      <w:pPr>
        <w:widowControl/>
        <w:shd w:val="clear" w:color="auto" w:fill="FFFFFF"/>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根据《政府信息公开信息处理费管理办法》规定，本年度未收取任何信息处理费。无其他报告事项。</w:t>
      </w:r>
    </w:p>
    <w:p>
      <w:pPr>
        <w:ind w:firstLine="5120" w:firstLineChars="16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乌拉特前旗公安局</w:t>
      </w:r>
    </w:p>
    <w:p>
      <w:pPr>
        <w:pStyle w:val="4"/>
        <w:ind w:firstLine="4800" w:firstLineChars="1500"/>
        <w:rPr>
          <w:rFonts w:eastAsia="仿宋"/>
          <w:sz w:val="32"/>
          <w:szCs w:val="32"/>
        </w:rPr>
      </w:pPr>
      <w:r>
        <w:rPr>
          <w:rFonts w:hint="eastAsia" w:ascii="仿宋" w:hAnsi="仿宋" w:eastAsia="仿宋" w:cs="仿宋"/>
          <w:color w:val="000000" w:themeColor="text1"/>
          <w:sz w:val="32"/>
          <w:szCs w:val="32"/>
          <w:shd w:val="clear" w:color="auto" w:fill="FFFFFF"/>
          <w14:textFill>
            <w14:solidFill>
              <w14:schemeClr w14:val="tx1"/>
            </w14:solidFill>
          </w14:textFill>
        </w:rPr>
        <w:t>2024年1月8日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zUzNWVmOTg1YjM4MmY3MzVlOTEzYzlmYTU5Y2MifQ=="/>
  </w:docVars>
  <w:rsids>
    <w:rsidRoot w:val="2AF17B93"/>
    <w:rsid w:val="00182636"/>
    <w:rsid w:val="003D78B1"/>
    <w:rsid w:val="004D630C"/>
    <w:rsid w:val="005469B7"/>
    <w:rsid w:val="00836B81"/>
    <w:rsid w:val="008F511D"/>
    <w:rsid w:val="00973FB8"/>
    <w:rsid w:val="00D06B23"/>
    <w:rsid w:val="00D910EA"/>
    <w:rsid w:val="00F251B5"/>
    <w:rsid w:val="01A050EF"/>
    <w:rsid w:val="034675D0"/>
    <w:rsid w:val="040F3E66"/>
    <w:rsid w:val="04842AA6"/>
    <w:rsid w:val="05095936"/>
    <w:rsid w:val="06C4362D"/>
    <w:rsid w:val="0768045D"/>
    <w:rsid w:val="0869448C"/>
    <w:rsid w:val="093E76C7"/>
    <w:rsid w:val="0AB435D3"/>
    <w:rsid w:val="0E625C06"/>
    <w:rsid w:val="0F0C3DC3"/>
    <w:rsid w:val="113F222E"/>
    <w:rsid w:val="117143B2"/>
    <w:rsid w:val="11D706B9"/>
    <w:rsid w:val="14681A9C"/>
    <w:rsid w:val="15A9236C"/>
    <w:rsid w:val="16493207"/>
    <w:rsid w:val="17DD454F"/>
    <w:rsid w:val="192D6E10"/>
    <w:rsid w:val="19597C05"/>
    <w:rsid w:val="197B401F"/>
    <w:rsid w:val="1A3903DE"/>
    <w:rsid w:val="1ACD08AB"/>
    <w:rsid w:val="25493224"/>
    <w:rsid w:val="268A3AF4"/>
    <w:rsid w:val="27455C6D"/>
    <w:rsid w:val="2A24600D"/>
    <w:rsid w:val="2ABE5B1A"/>
    <w:rsid w:val="2AF17B93"/>
    <w:rsid w:val="2B1941AD"/>
    <w:rsid w:val="2CCF04B2"/>
    <w:rsid w:val="2CED26E7"/>
    <w:rsid w:val="2F6F7D2B"/>
    <w:rsid w:val="2FAD0853"/>
    <w:rsid w:val="30A12166"/>
    <w:rsid w:val="31E83DC4"/>
    <w:rsid w:val="32791381"/>
    <w:rsid w:val="34164C19"/>
    <w:rsid w:val="357A4D33"/>
    <w:rsid w:val="370F3C38"/>
    <w:rsid w:val="3B07350D"/>
    <w:rsid w:val="3CB11983"/>
    <w:rsid w:val="3D69571D"/>
    <w:rsid w:val="3E4D56DB"/>
    <w:rsid w:val="3E990920"/>
    <w:rsid w:val="47F72214"/>
    <w:rsid w:val="481105CB"/>
    <w:rsid w:val="4ABF170F"/>
    <w:rsid w:val="4AD351BA"/>
    <w:rsid w:val="4AFD2237"/>
    <w:rsid w:val="4C3D6D8F"/>
    <w:rsid w:val="516923D4"/>
    <w:rsid w:val="52911BE2"/>
    <w:rsid w:val="55B1434A"/>
    <w:rsid w:val="55D17AFB"/>
    <w:rsid w:val="56F3629C"/>
    <w:rsid w:val="571132F2"/>
    <w:rsid w:val="599B6EA3"/>
    <w:rsid w:val="5A272E2C"/>
    <w:rsid w:val="5A89319F"/>
    <w:rsid w:val="5D3E2967"/>
    <w:rsid w:val="60EE1FAE"/>
    <w:rsid w:val="63B37E5A"/>
    <w:rsid w:val="63D062E3"/>
    <w:rsid w:val="65102E3B"/>
    <w:rsid w:val="65BF660F"/>
    <w:rsid w:val="661701F9"/>
    <w:rsid w:val="670C5884"/>
    <w:rsid w:val="67FA1B80"/>
    <w:rsid w:val="68F16ADF"/>
    <w:rsid w:val="6C027255"/>
    <w:rsid w:val="6EFA06B8"/>
    <w:rsid w:val="6FAF7B52"/>
    <w:rsid w:val="723839D1"/>
    <w:rsid w:val="756845CD"/>
    <w:rsid w:val="78570929"/>
    <w:rsid w:val="7A5275FA"/>
    <w:rsid w:val="7BE349AD"/>
    <w:rsid w:val="7C5C4760"/>
    <w:rsid w:val="7F6C2F0C"/>
    <w:rsid w:val="7FBB79EF"/>
    <w:rsid w:val="7FD95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character" w:default="1" w:styleId="7">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1"/>
    <w:basedOn w:val="1"/>
    <w:next w:val="1"/>
    <w:autoRedefine/>
    <w:qFormat/>
    <w:uiPriority w:val="0"/>
  </w:style>
  <w:style w:type="paragraph" w:styleId="4">
    <w:name w:val="toc 2"/>
    <w:basedOn w:val="1"/>
    <w:next w:val="1"/>
    <w:qFormat/>
    <w:uiPriority w:val="0"/>
    <w:pPr>
      <w:spacing w:line="306" w:lineRule="auto"/>
      <w:ind w:left="419"/>
    </w:pPr>
  </w:style>
  <w:style w:type="paragraph" w:styleId="5">
    <w:name w:val="Normal (Web)"/>
    <w:basedOn w:val="1"/>
    <w:qFormat/>
    <w:uiPriority w:val="99"/>
    <w:pPr>
      <w:spacing w:beforeAutospacing="1" w:afterAutospacing="1"/>
      <w:jc w:val="left"/>
    </w:pPr>
    <w:rPr>
      <w:rFonts w:cs="Times New Roman"/>
      <w:kern w:val="0"/>
      <w:sz w:val="24"/>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444</Words>
  <Characters>2536</Characters>
  <Lines>21</Lines>
  <Paragraphs>5</Paragraphs>
  <TotalTime>2</TotalTime>
  <ScaleCrop>false</ScaleCrop>
  <LinksUpToDate>false</LinksUpToDate>
  <CharactersWithSpaces>2975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2022-01-06T02:12:00Z</dcterms:created>
  <dc:creator>付洋</dc:creator>
  <cp:lastModifiedBy>演示人</cp:lastModifiedBy>
  <dcterms:modified xsi:type="dcterms:W3CDTF">2024-01-19T07:25:18Z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CB2AE0AB168241379792149BE0EDD8B7</vt:lpwstr>
  </property>
</Properties>
</file>