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8"/>
          <w:szCs w:val="4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工业和信息化局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 本年度报告根据《中华人民共和国政府信息公开条例》（以下简称《条例》）第五十条之规定制作。全文包括乌拉特前旗工业和信息化局政府信息公开总体情况，主动公开政府信息情况，收到和处理政府信息公开申请情况，政府信息公开行政复议、行政诉讼情况，存在的主要问题及改进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以及其他需要报告的事项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。所列数据统计期限为2023年1月1日至2023年12月31日。本年度报告电子版可以从乌拉特前旗人民政府门户网站（http://www.wltqq.gov.cn）下载，如对本年度报告有疑问，请与乌拉特前旗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联系（电话：0478-3212721）。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、推进政务运行公开透明。一是全面准确公开权力配置信息。在政府网站已公开本局工作职能、机构设置等政务信息。二是深化重点领域和监管执法信息公开。继续深入推进重大项目批准和实施信息公开，推动行政执法职责、依据、程序、结果等向社会公开，落实好“双随机、一公开”和行政处罚、行政许可“双公示”制度。今年我局通过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巴彦淖尔市政务公开平台公开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政务信息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条。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1、依申请公开情况。今年我局共受理政府信息依公开申请0件。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围绕政府信息公开规范化、标准化建设目标，进一步完善政府信息公开制度体系。强化政府信息清单化管理，修订政府信息主动公开目录。加强专栏建设工作，政务公开专栏按照全市统一规范和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工业和信息化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工作实际设置，并结合新形势新要求及时予以调整，页面设计、栏目名称、字号字段等确保符合政务公开工作要求。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一是加强新媒体监管。做好整合工作，对本单位开设的新媒体，进行有效整合，注销微信公众号。二是提高平台内容保障水平。及时发布和转载国家和自治区、市工信政策和新闻，今年我局通过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巴彦淖尔市政务公开平台公开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政务信息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条。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336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贯彻落实《中华人民共和国政府信息公开条例》第五十条第四项规定，积极开展考核工作，将此项工作纳入单位年度目标责任考核范围进行考核。强化责任追究机制，定期开展督促检查，对因工作不力影响信息公开工作的责任人按照规定追究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3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1" w:firstLineChars="1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1" w:firstLineChars="1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一年来的大力推进，我局政务公开整体水平得到了有效提升，服务水平有了明显提高，但在肯定成绩的同时，我们也清醒地认识到，我局的政务公开工作还存在着政务公开的队伍建设不完善，人员素质和能力水平不足的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（二）具体的改进措施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我局按照上级要求，安排专人负责政务公开工作，责任到人，责任到岗，及时按照要求公开应公开的政府信息。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4"/>
      </w:pPr>
    </w:p>
    <w:p/>
    <w:p>
      <w:pPr>
        <w:pStyle w:val="4"/>
      </w:pPr>
    </w:p>
    <w:p>
      <w:pPr>
        <w:ind w:firstLine="3840" w:firstLineChars="1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工业和信息化局</w:t>
      </w:r>
    </w:p>
    <w:p>
      <w:pPr>
        <w:pStyle w:val="4"/>
        <w:ind w:firstLine="4160" w:firstLineChars="13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A54E4"/>
    <w:multiLevelType w:val="singleLevel"/>
    <w:tmpl w:val="841A54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E625C06"/>
    <w:rsid w:val="0F0C3DC3"/>
    <w:rsid w:val="113F222E"/>
    <w:rsid w:val="117143B2"/>
    <w:rsid w:val="11D706B9"/>
    <w:rsid w:val="14681A9C"/>
    <w:rsid w:val="15A9236C"/>
    <w:rsid w:val="16493207"/>
    <w:rsid w:val="17DD454F"/>
    <w:rsid w:val="192D6E10"/>
    <w:rsid w:val="19597C05"/>
    <w:rsid w:val="197B401F"/>
    <w:rsid w:val="19D87980"/>
    <w:rsid w:val="1A3903DE"/>
    <w:rsid w:val="1A871F15"/>
    <w:rsid w:val="1ACD08AB"/>
    <w:rsid w:val="25493224"/>
    <w:rsid w:val="268A3AF4"/>
    <w:rsid w:val="27455C6D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47F72214"/>
    <w:rsid w:val="481105CB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3B37E5A"/>
    <w:rsid w:val="63D062E3"/>
    <w:rsid w:val="65102E3B"/>
    <w:rsid w:val="65BF660F"/>
    <w:rsid w:val="661701F9"/>
    <w:rsid w:val="670C5884"/>
    <w:rsid w:val="67FA1B80"/>
    <w:rsid w:val="68F16ADF"/>
    <w:rsid w:val="6C027255"/>
    <w:rsid w:val="6EFA06B8"/>
    <w:rsid w:val="6FAF7B52"/>
    <w:rsid w:val="723839D1"/>
    <w:rsid w:val="756845CD"/>
    <w:rsid w:val="78570929"/>
    <w:rsid w:val="7A5275FA"/>
    <w:rsid w:val="7BE349AD"/>
    <w:rsid w:val="7C074BB9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4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F722EDA603AC45FA85556E7515B1333B_13</vt:lpwstr>
  </property>
</Properties>
</file>