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48"/>
          <w:szCs w:val="48"/>
          <w:highlight w:val="none"/>
          <w:shd w:val="clear" w:fill="FFFFFF"/>
          <w14:textFill>
            <w14:solidFill>
              <w14:schemeClr w14:val="tx1"/>
            </w14:solidFill>
          </w14:textFill>
        </w:rPr>
      </w:pPr>
    </w:p>
    <w:p>
      <w:pPr>
        <w:rPr>
          <w:rFonts w:hint="eastAsia" w:ascii="微软雅黑" w:hAnsi="微软雅黑" w:eastAsia="微软雅黑" w:cs="微软雅黑"/>
          <w:i w:val="0"/>
          <w:iCs w:val="0"/>
          <w:caps w:val="0"/>
          <w:color w:val="000000" w:themeColor="text1"/>
          <w:spacing w:val="0"/>
          <w:sz w:val="48"/>
          <w:szCs w:val="48"/>
          <w:highlight w:val="none"/>
          <w:shd w:val="clear" w:fill="FFFFFF"/>
          <w14:textFill>
            <w14:solidFill>
              <w14:schemeClr w14:val="tx1"/>
            </w14:solidFill>
          </w14:textFill>
        </w:rPr>
      </w:pPr>
    </w:p>
    <w:p>
      <w:pPr>
        <w:rPr>
          <w:rFonts w:hint="eastAsia" w:ascii="微软雅黑" w:hAnsi="微软雅黑" w:eastAsia="微软雅黑" w:cs="微软雅黑"/>
          <w:i w:val="0"/>
          <w:iCs w:val="0"/>
          <w:caps w:val="0"/>
          <w:color w:val="000000" w:themeColor="text1"/>
          <w:spacing w:val="0"/>
          <w:sz w:val="48"/>
          <w:szCs w:val="48"/>
          <w:highlight w:val="none"/>
          <w:shd w:val="clear" w:fill="FFFFFF"/>
          <w14:textFill>
            <w14:solidFill>
              <w14:schemeClr w14:val="tx1"/>
            </w14:solidFill>
          </w14:textFill>
        </w:rPr>
      </w:pPr>
    </w:p>
    <w:p>
      <w:pPr>
        <w:rPr>
          <w:rFonts w:hint="eastAsia" w:ascii="微软雅黑" w:hAnsi="微软雅黑" w:eastAsia="微软雅黑" w:cs="微软雅黑"/>
          <w:i w:val="0"/>
          <w:iCs w:val="0"/>
          <w:caps w:val="0"/>
          <w:color w:val="000000" w:themeColor="text1"/>
          <w:spacing w:val="0"/>
          <w:sz w:val="20"/>
          <w:szCs w:val="20"/>
          <w:highlight w:val="none"/>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t>林业和草原局</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14:textFill>
            <w14:solidFill>
              <w14:schemeClr w14:val="tx1"/>
            </w14:solidFill>
          </w14:textFill>
        </w:rPr>
        <w:t>年政府信息公开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shd w:val="clear" w:fill="FFFFFF"/>
          <w14:textFill>
            <w14:solidFill>
              <w14:schemeClr w14:val="tx1"/>
            </w14:solidFill>
          </w14:textFill>
        </w:rPr>
        <w:t>年度报告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highlight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default"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乌拉特前旗林业和草原局本年度报告电子版可以从乌拉特前旗人民政府门户网站（http://www.wltqq.gov.cn）下载，如对本年度报告有疑问，请与乌拉特前旗林业和草原局联系（电话：0478-3606288）。</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eastAsia="zh-CN"/>
        </w:rPr>
      </w:pP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202</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3</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年，乌拉特前旗林业和草原局严格按照旗委、旗政府部署要求，主动公开政府信息情况、落实行政许可事项、改进存在的主要问题，不断健全完善政务信息公开工作机制，积极落实各项工作任务。现将我局202</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3</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年度政府信息公开工作情况汇报如下：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321" w:firstLineChars="100"/>
        <w:jc w:val="both"/>
        <w:rPr>
          <w:rFonts w:hint="eastAsia" w:ascii="仿宋" w:hAnsi="仿宋" w:eastAsia="仿宋" w:cs="仿宋"/>
          <w:b/>
          <w:bCs/>
          <w:i w:val="0"/>
          <w:iCs w:val="0"/>
          <w:caps w:val="0"/>
          <w:color w:val="000000"/>
          <w:spacing w:val="0"/>
          <w:sz w:val="32"/>
          <w:szCs w:val="32"/>
          <w:highlight w:val="none"/>
          <w:shd w:val="clear" w:fill="FFFFFF"/>
        </w:rPr>
      </w:pP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lang w:val="en-US" w:eastAsia="zh-CN"/>
        </w:rPr>
        <w:t>一</w:t>
      </w: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rPr>
        <w:t>主动公开情况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eastAsia" w:ascii="方正仿宋_GB2312" w:hAnsi="方正仿宋_GB2312" w:eastAsia="方正仿宋_GB2312" w:cs="方正仿宋_GB2312"/>
          <w:i w:val="0"/>
          <w:iCs w:val="0"/>
          <w:caps w:val="0"/>
          <w:color w:val="0000FF"/>
          <w:spacing w:val="0"/>
          <w:sz w:val="32"/>
          <w:szCs w:val="32"/>
          <w:highlight w:val="none"/>
          <w:shd w:val="clear" w:color="auto" w:fill="FFFFFF"/>
        </w:rPr>
      </w:pP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202</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3</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年，按照《中华人民共和国政府信息公开条例》要求，我局认真落实政府信息工作及政务公开，发布政策文件、工作完成情况信息、日常工作动态。全年我局通过巴彦淖尔市政务公开平台发布信息24条</w:t>
      </w:r>
      <w:r>
        <w:rPr>
          <w:rFonts w:hint="eastAsia" w:ascii="方正仿宋_GB2312" w:hAnsi="方正仿宋_GB2312" w:eastAsia="方正仿宋_GB2312" w:cs="方正仿宋_GB2312"/>
          <w:i w:val="0"/>
          <w:iCs w:val="0"/>
          <w:caps w:val="0"/>
          <w:color w:val="0000FF"/>
          <w:spacing w:val="0"/>
          <w:sz w:val="32"/>
          <w:szCs w:val="32"/>
          <w:highlight w:val="none"/>
          <w:shd w:val="clear" w:color="auto" w:fill="FFFFFF"/>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321" w:firstLineChars="100"/>
        <w:jc w:val="both"/>
        <w:rPr>
          <w:rFonts w:hint="eastAsia" w:ascii="仿宋" w:hAnsi="仿宋" w:eastAsia="仿宋" w:cs="仿宋"/>
          <w:b/>
          <w:bCs/>
          <w:i w:val="0"/>
          <w:iCs w:val="0"/>
          <w:caps w:val="0"/>
          <w:color w:val="000000"/>
          <w:spacing w:val="0"/>
          <w:sz w:val="32"/>
          <w:szCs w:val="32"/>
          <w:highlight w:val="none"/>
          <w:shd w:val="clear" w:fill="FFFFFF"/>
        </w:rPr>
      </w:pP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lang w:val="en-US" w:eastAsia="zh-CN"/>
        </w:rPr>
        <w:t>二</w:t>
      </w: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rPr>
        <w:t>依申请公开情况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pP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202</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3</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年，我局上年结转政府信息公开申请</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0</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件，收到政府信息公开申请</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1</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件</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eastAsia="zh-CN"/>
        </w:rPr>
        <w:t>，</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已办结</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321" w:firstLineChars="100"/>
        <w:jc w:val="both"/>
        <w:rPr>
          <w:rFonts w:hint="eastAsia" w:ascii="仿宋" w:hAnsi="仿宋" w:eastAsia="仿宋" w:cs="仿宋"/>
          <w:b/>
          <w:bCs/>
          <w:i w:val="0"/>
          <w:iCs w:val="0"/>
          <w:caps w:val="0"/>
          <w:color w:val="000000"/>
          <w:spacing w:val="0"/>
          <w:sz w:val="32"/>
          <w:szCs w:val="32"/>
          <w:highlight w:val="none"/>
          <w:shd w:val="clear" w:fill="FFFFFF"/>
        </w:rPr>
      </w:pP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lang w:val="en-US" w:eastAsia="zh-CN"/>
        </w:rPr>
        <w:t>三</w:t>
      </w: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rPr>
        <w:t>政府信息管理情况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pP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202</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3</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年我单位未接收到新收政府信息公开申请以及上年结转政府信息公开申请。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321" w:firstLineChars="100"/>
        <w:jc w:val="both"/>
        <w:rPr>
          <w:rFonts w:hint="eastAsia" w:ascii="仿宋" w:hAnsi="仿宋" w:eastAsia="仿宋" w:cs="仿宋"/>
          <w:b/>
          <w:bCs/>
          <w:i w:val="0"/>
          <w:iCs w:val="0"/>
          <w:caps w:val="0"/>
          <w:color w:val="000000"/>
          <w:spacing w:val="0"/>
          <w:sz w:val="32"/>
          <w:szCs w:val="32"/>
          <w:highlight w:val="none"/>
          <w:shd w:val="clear" w:fill="FFFFFF"/>
        </w:rPr>
      </w:pP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lang w:val="en-US" w:eastAsia="zh-CN"/>
        </w:rPr>
        <w:t>四</w:t>
      </w: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rPr>
        <w:t>政府信息公开平台建设情况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pP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为认真做好平台信息发布工作，我局加强主动公开平台的集中管理，将网站主动公开信息的承接、分类、加载、维护集中由专人负责，提高了公开时效和加载质量，做到信息内容及时更新。</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321" w:firstLineChars="100"/>
        <w:jc w:val="both"/>
        <w:rPr>
          <w:rFonts w:hint="eastAsia" w:ascii="仿宋" w:hAnsi="仿宋" w:eastAsia="仿宋" w:cs="仿宋"/>
          <w:b/>
          <w:bCs/>
          <w:i w:val="0"/>
          <w:iCs w:val="0"/>
          <w:caps w:val="0"/>
          <w:color w:val="000000"/>
          <w:spacing w:val="0"/>
          <w:sz w:val="32"/>
          <w:szCs w:val="32"/>
          <w:highlight w:val="none"/>
          <w:shd w:val="clear" w:fill="FFFFFF"/>
        </w:rPr>
      </w:pP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lang w:val="en-US" w:eastAsia="zh-CN"/>
        </w:rPr>
        <w:t>五</w:t>
      </w:r>
      <w:r>
        <w:rPr>
          <w:rFonts w:hint="eastAsia" w:ascii="仿宋" w:hAnsi="仿宋" w:eastAsia="仿宋" w:cs="仿宋"/>
          <w:b/>
          <w:bCs/>
          <w:i w:val="0"/>
          <w:iCs w:val="0"/>
          <w:caps w:val="0"/>
          <w:color w:val="000000"/>
          <w:spacing w:val="0"/>
          <w:sz w:val="32"/>
          <w:szCs w:val="32"/>
          <w:highlight w:val="none"/>
          <w:shd w:val="clear" w:fill="FFFFFF"/>
          <w:lang w:eastAsia="zh-CN"/>
        </w:rPr>
        <w:t>）</w:t>
      </w:r>
      <w:r>
        <w:rPr>
          <w:rFonts w:hint="eastAsia" w:ascii="仿宋" w:hAnsi="仿宋" w:eastAsia="仿宋" w:cs="仿宋"/>
          <w:b/>
          <w:bCs/>
          <w:i w:val="0"/>
          <w:iCs w:val="0"/>
          <w:caps w:val="0"/>
          <w:color w:val="000000"/>
          <w:spacing w:val="0"/>
          <w:sz w:val="32"/>
          <w:szCs w:val="32"/>
          <w:highlight w:val="none"/>
          <w:shd w:val="clear" w:fill="FFFFFF"/>
        </w:rPr>
        <w:t>监督保障情况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rPr>
          <w:rFonts w:hint="eastAsia" w:ascii="方正仿宋_GB2312" w:hAnsi="方正仿宋_GB2312" w:eastAsia="方正仿宋_GB2312" w:cs="方正仿宋_GB2312"/>
          <w:b/>
          <w:bCs/>
          <w:i w:val="0"/>
          <w:iCs w:val="0"/>
          <w:caps w:val="0"/>
          <w:color w:val="000000"/>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202</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3</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rPr>
        <w:t>年，我局认真贯彻落实《中华人民共和国政府信息公开条例》，对政府信息公开工作进行专题研究部署，在政府信息公开工作中主动接受社会各界监督，严格依法依规开展工作，虚心听取有关意见建议并及时改进。全年没有收到相关投诉和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highlight w:val="none"/>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highlight w:val="none"/>
          <w:shd w:val="clear" w:color="auto" w:fill="auto"/>
          <w:lang w:val="en-US" w:eastAsia="zh-CN" w:bidi="en-US"/>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ascii="Calibri" w:hAnsi="Calibri" w:eastAsia="宋体" w:cs="Calibri"/>
                <w:color w:val="333333"/>
                <w:sz w:val="16"/>
                <w:szCs w:val="16"/>
                <w:highlight w:val="none"/>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Calibri" w:hAnsi="Calibri" w:eastAsia="宋体" w:cs="Calibri"/>
                <w:color w:val="333333"/>
                <w:sz w:val="16"/>
                <w:szCs w:val="16"/>
                <w:highlight w:val="none"/>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333333"/>
                <w:sz w:val="16"/>
                <w:szCs w:val="16"/>
                <w:highlight w:val="none"/>
                <w:u w:val="none"/>
                <w:lang w:val="en-US" w:eastAsia="zh-CN"/>
              </w:rPr>
            </w:pPr>
            <w:r>
              <w:rPr>
                <w:rFonts w:hint="eastAsia" w:ascii="Calibri" w:hAnsi="Calibri" w:cs="Calibri"/>
                <w:color w:val="333333"/>
                <w:sz w:val="16"/>
                <w:szCs w:val="16"/>
                <w:highlight w:val="none"/>
                <w:u w:val="none"/>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highlight w:val="none"/>
          <w:u w:val="none"/>
        </w:rPr>
      </w:pPr>
      <w:r>
        <w:rPr>
          <w:rFonts w:hint="default" w:ascii="Times New Roman" w:hAnsi="Times New Roman" w:eastAsia="微软雅黑" w:cs="Times New Roman"/>
          <w:i w:val="0"/>
          <w:iCs w:val="0"/>
          <w:caps w:val="0"/>
          <w:color w:val="333333"/>
          <w:spacing w:val="0"/>
          <w:sz w:val="16"/>
          <w:szCs w:val="16"/>
          <w:highlight w:val="none"/>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highlight w:val="none"/>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highlight w:val="none"/>
          <w:shd w:val="clear" w:color="auto" w:fill="auto"/>
          <w:lang w:val="en-US" w:eastAsia="zh-CN" w:bidi="en-US"/>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highlight w:val="none"/>
          <w:u w:val="none"/>
        </w:rPr>
      </w:pPr>
      <w:r>
        <w:rPr>
          <w:rFonts w:hint="eastAsia" w:ascii="宋体" w:hAnsi="宋体" w:eastAsia="宋体" w:cs="宋体"/>
          <w:i w:val="0"/>
          <w:iCs w:val="0"/>
          <w:caps w:val="0"/>
          <w:color w:val="333333"/>
          <w:spacing w:val="0"/>
          <w:sz w:val="19"/>
          <w:szCs w:val="19"/>
          <w:highlight w:val="none"/>
          <w:u w:val="none"/>
          <w:shd w:val="clear"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ascii="楷体" w:hAnsi="楷体" w:eastAsia="楷体" w:cs="楷体"/>
                <w:color w:val="333333"/>
                <w:sz w:val="15"/>
                <w:szCs w:val="15"/>
                <w:highlight w:val="none"/>
                <w:u w:val="none"/>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highlight w:val="none"/>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highlight w:val="none"/>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1</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（二）部分公开</w:t>
            </w:r>
            <w:r>
              <w:rPr>
                <w:rFonts w:hint="eastAsia" w:ascii="楷体" w:hAnsi="楷体" w:eastAsia="楷体" w:cs="楷体"/>
                <w:color w:val="333333"/>
                <w:sz w:val="15"/>
                <w:szCs w:val="15"/>
                <w:highlight w:val="none"/>
                <w:u w:val="none"/>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1</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highlight w:val="none"/>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1</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lang w:eastAsia="zh-CN"/>
              </w:rPr>
            </w:pPr>
            <w:r>
              <w:rPr>
                <w:rFonts w:hint="eastAsia" w:ascii="Times New Roman" w:hAnsi="Times New Roman" w:cs="Times New Roman"/>
                <w:color w:val="333333"/>
                <w:sz w:val="16"/>
                <w:szCs w:val="16"/>
                <w:highlight w:val="none"/>
                <w:u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default" w:ascii="Times New Roman" w:hAnsi="Times New Roman" w:eastAsia="宋体" w:cs="Times New Roman"/>
                <w:color w:val="333333"/>
                <w:sz w:val="16"/>
                <w:szCs w:val="16"/>
                <w:highlight w:val="none"/>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9"/>
                <w:szCs w:val="19"/>
                <w:highlight w:val="none"/>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8"/>
          <w:szCs w:val="18"/>
          <w:highlight w:val="none"/>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微软雅黑" w:hAnsi="微软雅黑" w:eastAsia="微软雅黑" w:cs="微软雅黑"/>
          <w:i w:val="0"/>
          <w:iCs w:val="0"/>
          <w:caps w:val="0"/>
          <w:color w:val="333333"/>
          <w:spacing w:val="0"/>
          <w:sz w:val="18"/>
          <w:szCs w:val="18"/>
          <w:highlight w:val="none"/>
          <w:u w:val="none"/>
        </w:rPr>
      </w:pPr>
      <w:r>
        <w:rPr>
          <w:rFonts w:hint="eastAsia" w:ascii="仿宋_GB2312" w:hAnsi="仿宋_GB2312" w:eastAsia="仿宋_GB2312" w:cs="仿宋_GB2312"/>
          <w:b/>
          <w:bCs/>
          <w:color w:val="000000"/>
          <w:spacing w:val="0"/>
          <w:w w:val="100"/>
          <w:kern w:val="0"/>
          <w:position w:val="0"/>
          <w:sz w:val="32"/>
          <w:szCs w:val="32"/>
          <w:highlight w:val="none"/>
          <w:shd w:val="clear" w:color="auto" w:fill="auto"/>
          <w:lang w:val="en-US" w:eastAsia="zh-CN" w:bidi="en-US"/>
        </w:rPr>
        <w:t>四、政府信息公开行政复议、行政诉讼情况</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结果</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其他</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尚未</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highlight w:val="none"/>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结果</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结果</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其他</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尚未</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结果</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结果</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其他</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尚未</w:t>
            </w:r>
            <w:r>
              <w:rPr>
                <w:rFonts w:hint="eastAsia" w:ascii="微软雅黑" w:hAnsi="微软雅黑" w:eastAsia="微软雅黑" w:cs="微软雅黑"/>
                <w:color w:val="333333"/>
                <w:sz w:val="15"/>
                <w:szCs w:val="15"/>
                <w:highlight w:val="none"/>
                <w:u w:val="none"/>
              </w:rPr>
              <w:br w:type="textWrapping"/>
            </w:r>
            <w:r>
              <w:rPr>
                <w:rFonts w:hint="eastAsia" w:ascii="宋体" w:hAnsi="宋体" w:eastAsia="宋体" w:cs="宋体"/>
                <w:color w:val="333333"/>
                <w:sz w:val="15"/>
                <w:szCs w:val="15"/>
                <w:highlight w:val="none"/>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eastAsia="宋体" w:cs="宋体"/>
                <w:color w:val="333333"/>
                <w:sz w:val="15"/>
                <w:szCs w:val="15"/>
                <w:highlight w:val="none"/>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1</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1</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lang w:val="en-US" w:eastAsia="zh-CN"/>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highlight w:val="none"/>
                <w:u w:val="none"/>
              </w:rPr>
            </w:pPr>
            <w:r>
              <w:rPr>
                <w:rFonts w:hint="eastAsia" w:ascii="宋体" w:hAnsi="宋体" w:cs="宋体"/>
                <w:color w:val="333333"/>
                <w:sz w:val="15"/>
                <w:szCs w:val="15"/>
                <w:highlight w:val="none"/>
                <w:u w:val="none"/>
                <w:lang w:val="en-US" w:eastAsia="zh-CN"/>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jc w:val="both"/>
        <w:rPr>
          <w:rFonts w:hint="eastAsia" w:ascii="仿宋_GB2312" w:hAnsi="仿宋_GB2312" w:eastAsia="仿宋_GB2312" w:cs="仿宋_GB2312"/>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2023年，我局政务信息公开工作推进扎实有序，但仍然存在一些短板和不足，主要表现为：一是各股室站队、国有管护中心之间信息共享不够顺畅，信息共享率低；二是林草重点领域公开不够完善，政策发布还不够多；三是在人、财、物等热点事务的公开不够及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jc w:val="both"/>
        <w:rPr>
          <w:rFonts w:hint="eastAsia"/>
          <w:highlight w:val="none"/>
          <w:lang w:val="en-US" w:eastAsia="zh-CN"/>
        </w:rPr>
      </w:pPr>
      <w:r>
        <w:rPr>
          <w:rFonts w:hint="eastAsia" w:ascii="仿宋_GB2312" w:hAnsi="仿宋_GB2312" w:eastAsia="仿宋_GB2312" w:cs="仿宋_GB2312"/>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在下一步工作过程中，我局将进一步加强政务公开相关工作，继续完善我局政务公开相关制度和要求，，提高工作效率</w:t>
      </w:r>
      <w:r>
        <w:rPr>
          <w:rFonts w:hint="eastAsia" w:ascii="微软雅黑" w:hAnsi="微软雅黑" w:eastAsia="微软雅黑" w:cs="微软雅黑"/>
          <w:i w:val="0"/>
          <w:iCs w:val="0"/>
          <w:caps w:val="0"/>
          <w:color w:val="000000"/>
          <w:spacing w:val="0"/>
          <w:sz w:val="22"/>
          <w:szCs w:val="22"/>
          <w:highlight w:val="none"/>
          <w:shd w:val="clear" w:color="auto" w:fill="FFFFFF"/>
          <w:lang w:eastAsia="zh-CN"/>
        </w:rPr>
        <w:t>，</w:t>
      </w:r>
      <w:r>
        <w:rPr>
          <w:rFonts w:hint="eastAsia" w:ascii="仿宋_GB2312" w:hAnsi="仿宋_GB2312" w:eastAsia="仿宋_GB2312" w:cs="仿宋_GB2312"/>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一是加强与各股室站队、国有管护中心信息共享机，提高信息共享的效率，二是突出林草工作重点领域、加强政策发布解读，三是加强热点公开，在贴近群众上下功夫，使群众获取和使用信息，接受群众监督。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iCs w:val="0"/>
          <w:caps w:val="0"/>
          <w:color w:val="000000"/>
          <w:spacing w:val="0"/>
          <w:kern w:val="0"/>
          <w:sz w:val="32"/>
          <w:szCs w:val="32"/>
          <w:highlight w:val="none"/>
          <w:shd w:val="clear" w:fill="FFFFFF"/>
          <w:lang w:val="en-US" w:eastAsia="zh-CN" w:bidi="ar"/>
        </w:rPr>
      </w:pPr>
      <w:bookmarkStart w:id="0" w:name="_GoBack"/>
      <w:bookmarkEnd w:id="0"/>
      <w:r>
        <w:rPr>
          <w:rFonts w:hint="eastAsia" w:ascii="仿宋" w:hAnsi="仿宋" w:eastAsia="仿宋" w:cs="仿宋"/>
          <w:b/>
          <w:bCs/>
          <w:i w:val="0"/>
          <w:iCs w:val="0"/>
          <w:caps w:val="0"/>
          <w:color w:val="000000"/>
          <w:spacing w:val="0"/>
          <w:kern w:val="0"/>
          <w:sz w:val="32"/>
          <w:szCs w:val="32"/>
          <w:highlight w:val="none"/>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规定，本年度未收取任何信息处理费。无其他报告事项。</w:t>
      </w:r>
    </w:p>
    <w:p>
      <w:pPr>
        <w:pStyle w:val="4"/>
        <w:rPr>
          <w:highlight w:val="none"/>
        </w:rPr>
      </w:pPr>
    </w:p>
    <w:p>
      <w:pPr>
        <w:rPr>
          <w:highlight w:val="none"/>
        </w:rPr>
      </w:pPr>
    </w:p>
    <w:p>
      <w:pPr>
        <w:pStyle w:val="4"/>
        <w:rPr>
          <w:highlight w:val="none"/>
        </w:rPr>
      </w:pPr>
    </w:p>
    <w:p>
      <w:pPr>
        <w:ind w:firstLine="4480" w:firstLineChars="1400"/>
        <w:rPr>
          <w:rFonts w:hint="default"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乌拉特前旗</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林业和草原局</w:t>
      </w:r>
    </w:p>
    <w:p>
      <w:pPr>
        <w:pStyle w:val="4"/>
        <w:ind w:firstLine="4480" w:firstLineChars="1400"/>
        <w:rPr>
          <w:rFonts w:hint="default" w:eastAsia="仿宋"/>
          <w:sz w:val="32"/>
          <w:szCs w:val="32"/>
          <w:highlight w:val="none"/>
          <w:lang w:val="en-US" w:eastAsia="zh-CN"/>
        </w:rPr>
      </w:pP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2024年1月9日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1F770A5-F1AC-4452-98B8-00D05D78F456}"/>
  </w:font>
  <w:font w:name="微软雅黑">
    <w:panose1 w:val="020B0503020204020204"/>
    <w:charset w:val="86"/>
    <w:family w:val="auto"/>
    <w:pitch w:val="default"/>
    <w:sig w:usb0="80000287" w:usb1="2ACF3C50" w:usb2="00000016" w:usb3="00000000" w:csb0="0004001F" w:csb1="00000000"/>
    <w:embedRegular r:id="rId2" w:fontKey="{0329A5A9-BEB9-42C6-ABBA-C96218783246}"/>
  </w:font>
  <w:font w:name="仿宋">
    <w:panose1 w:val="02010609060101010101"/>
    <w:charset w:val="86"/>
    <w:family w:val="auto"/>
    <w:pitch w:val="default"/>
    <w:sig w:usb0="800002BF" w:usb1="38CF7CFA" w:usb2="00000016" w:usb3="00000000" w:csb0="00040001" w:csb1="00000000"/>
    <w:embedRegular r:id="rId3" w:fontKey="{CFE621CF-9EBE-4610-9C7B-19E4C8F074CA}"/>
  </w:font>
  <w:font w:name="方正仿宋_GB2312">
    <w:panose1 w:val="02000000000000000000"/>
    <w:charset w:val="86"/>
    <w:family w:val="auto"/>
    <w:pitch w:val="default"/>
    <w:sig w:usb0="A00002BF" w:usb1="184F6CFA" w:usb2="00000012" w:usb3="00000000" w:csb0="00040001" w:csb1="00000000"/>
    <w:embedRegular r:id="rId4" w:fontKey="{29F7D092-136D-42BB-9950-151F2738B778}"/>
  </w:font>
  <w:font w:name="仿宋_GB2312">
    <w:panose1 w:val="02010609030101010101"/>
    <w:charset w:val="86"/>
    <w:family w:val="auto"/>
    <w:pitch w:val="default"/>
    <w:sig w:usb0="00000001" w:usb1="080E0000" w:usb2="00000000" w:usb3="00000000" w:csb0="00040000" w:csb1="00000000"/>
    <w:embedRegular r:id="rId5" w:fontKey="{D344ECF2-B208-4A7F-BB2F-6B9B55560A0A}"/>
  </w:font>
  <w:font w:name="楷体">
    <w:panose1 w:val="02010609060101010101"/>
    <w:charset w:val="86"/>
    <w:family w:val="auto"/>
    <w:pitch w:val="default"/>
    <w:sig w:usb0="800002BF" w:usb1="38CF7CFA" w:usb2="00000016" w:usb3="00000000" w:csb0="00040001" w:csb1="00000000"/>
    <w:embedRegular r:id="rId6" w:fontKey="{4EE442EF-FCF3-41A8-AAF0-AA15F030616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800002BF" w:usb1="184F6CF8" w:usb2="00000012" w:usb3="00000000" w:csb0="00160001" w:csb1="12030000"/>
    <w:embedRegular r:id="rId7" w:fontKey="{F76C63F8-7A47-4D53-8E7E-4BD0E1134E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20E43BE"/>
    <w:rsid w:val="034675D0"/>
    <w:rsid w:val="040F3E66"/>
    <w:rsid w:val="04842AA6"/>
    <w:rsid w:val="05095936"/>
    <w:rsid w:val="06C4362D"/>
    <w:rsid w:val="0768045D"/>
    <w:rsid w:val="0869448C"/>
    <w:rsid w:val="093E76C7"/>
    <w:rsid w:val="0AB435D3"/>
    <w:rsid w:val="0E625C06"/>
    <w:rsid w:val="0F0C3DC3"/>
    <w:rsid w:val="113F222E"/>
    <w:rsid w:val="117143B2"/>
    <w:rsid w:val="11D706B9"/>
    <w:rsid w:val="14681A9C"/>
    <w:rsid w:val="15A9236C"/>
    <w:rsid w:val="16493207"/>
    <w:rsid w:val="17DD454F"/>
    <w:rsid w:val="19127B31"/>
    <w:rsid w:val="192D6E10"/>
    <w:rsid w:val="19597C05"/>
    <w:rsid w:val="197B401F"/>
    <w:rsid w:val="1A3903DE"/>
    <w:rsid w:val="1ACD08AB"/>
    <w:rsid w:val="1B3323DA"/>
    <w:rsid w:val="25493224"/>
    <w:rsid w:val="268A3AF4"/>
    <w:rsid w:val="27455C6D"/>
    <w:rsid w:val="2A24600D"/>
    <w:rsid w:val="2ABE5B1A"/>
    <w:rsid w:val="2AF17B93"/>
    <w:rsid w:val="2CCF04B2"/>
    <w:rsid w:val="2CED26E7"/>
    <w:rsid w:val="2F6F7D2B"/>
    <w:rsid w:val="2FAD0853"/>
    <w:rsid w:val="30A12166"/>
    <w:rsid w:val="31E83DC4"/>
    <w:rsid w:val="32791381"/>
    <w:rsid w:val="34164C19"/>
    <w:rsid w:val="357A4D33"/>
    <w:rsid w:val="370F3C38"/>
    <w:rsid w:val="39700927"/>
    <w:rsid w:val="3B07350D"/>
    <w:rsid w:val="3BA42AF4"/>
    <w:rsid w:val="3CB11983"/>
    <w:rsid w:val="3D69571D"/>
    <w:rsid w:val="3E4D56DB"/>
    <w:rsid w:val="3E990920"/>
    <w:rsid w:val="3F6F78D3"/>
    <w:rsid w:val="429D0758"/>
    <w:rsid w:val="47F72214"/>
    <w:rsid w:val="481105CB"/>
    <w:rsid w:val="491D3EFC"/>
    <w:rsid w:val="4ABF170F"/>
    <w:rsid w:val="4AD351BA"/>
    <w:rsid w:val="4AFD2237"/>
    <w:rsid w:val="4C3D6D8F"/>
    <w:rsid w:val="4D357A66"/>
    <w:rsid w:val="516923D4"/>
    <w:rsid w:val="52911BE2"/>
    <w:rsid w:val="55B1434A"/>
    <w:rsid w:val="55D17AFB"/>
    <w:rsid w:val="56F3629C"/>
    <w:rsid w:val="571132F2"/>
    <w:rsid w:val="599B6EA3"/>
    <w:rsid w:val="5A272E2C"/>
    <w:rsid w:val="5A89319F"/>
    <w:rsid w:val="5D3E2967"/>
    <w:rsid w:val="60EE1FAE"/>
    <w:rsid w:val="63B37E5A"/>
    <w:rsid w:val="63D062E3"/>
    <w:rsid w:val="65102E3B"/>
    <w:rsid w:val="65BF660F"/>
    <w:rsid w:val="661701F9"/>
    <w:rsid w:val="670C5884"/>
    <w:rsid w:val="67FA1B80"/>
    <w:rsid w:val="68F16ADF"/>
    <w:rsid w:val="6C027255"/>
    <w:rsid w:val="6EFA06B8"/>
    <w:rsid w:val="6FAF7B52"/>
    <w:rsid w:val="723839D1"/>
    <w:rsid w:val="730A4A04"/>
    <w:rsid w:val="756845CD"/>
    <w:rsid w:val="78570929"/>
    <w:rsid w:val="7A5275FA"/>
    <w:rsid w:val="7BE349AD"/>
    <w:rsid w:val="7C5C4760"/>
    <w:rsid w:val="7C9537CE"/>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autoRedefine/>
    <w:qFormat/>
    <w:uiPriority w:val="0"/>
  </w:style>
  <w:style w:type="paragraph" w:styleId="4">
    <w:name w:val="toc 2"/>
    <w:basedOn w:val="1"/>
    <w:next w:val="1"/>
    <w:autoRedefine/>
    <w:qFormat/>
    <w:uiPriority w:val="0"/>
    <w:pPr>
      <w:spacing w:line="306" w:lineRule="auto"/>
      <w:ind w:left="419"/>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cp:lastPrinted>2024-01-10T02:16:00Z</cp:lastPrinted>
  <dcterms:modified xsi:type="dcterms:W3CDTF">2024-01-19T07:54:41Z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0E97DD76C4FE411597CD0CDD0C054068_13</vt:lpwstr>
  </property>
</Properties>
</file>