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pPr>
    </w:p>
    <w:p>
      <w:pP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pPr>
    </w:p>
    <w:p>
      <w:pPr>
        <w:pStyle w:val="2"/>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信访局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政府信息公开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年度报告</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val="en-US" w:eastAsia="zh-CN"/>
        </w:rPr>
      </w:pPr>
    </w:p>
    <w:p>
      <w:pPr>
        <w:ind w:firstLine="640" w:firstLineChars="200"/>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本年度报告根据《中华人民共和国政府信息公开条例》（以下简称《条例》）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《国务院办公厅政府信息与政务公开办公室关于印发&lt;中华人民共和国政府信息公开工作年度报告格式&gt;的通知》（国办公开办函〔2021〕30号）要求制作。</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本报告由总体情况，主动公开政府信息情况，收到和处理政府信息公开申请情况，政府信息公开行政复议、行政诉讼情况，存在的主要问题及改进情况以及其他需要报告的事项等部分组成。</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本年度报告中所列数据的统计期限为</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lang w:val="en-US" w:eastAsia="zh-CN"/>
        </w:rPr>
        <w:t>本年度报告电子版可以从乌拉特前旗人民政府门户网站（http://www.wltqq.gov.cn）下载，如对本年度报告有疑问，请与乌拉特前旗信访局联系（电话：0478-3212375）。</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总体情况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eastAsia="zh-CN"/>
        </w:rPr>
        <w:t>乌拉特前旗</w:t>
      </w:r>
      <w:r>
        <w:rPr>
          <w:rFonts w:hint="eastAsia" w:ascii="仿宋_GB2312" w:hAnsi="仿宋_GB2312" w:eastAsia="仿宋_GB2312" w:cs="仿宋_GB2312"/>
          <w:i w:val="0"/>
          <w:iCs w:val="0"/>
          <w:caps w:val="0"/>
          <w:color w:val="auto"/>
          <w:spacing w:val="0"/>
          <w:sz w:val="32"/>
          <w:szCs w:val="32"/>
          <w:shd w:val="clear" w:fill="FFFFFF"/>
        </w:rPr>
        <w:t>信访局深入学习贯彻党的二十大精神，以及习近平总书记关于加强和改进人民信访工作的重要思想和对内蒙古工作重要讲话重要指示批示精神，深入贯彻落实《中华人民共和国政府信息公开条例》，深入学习领会党中央、国务院和自治区党委和政府关于政府信息公开工作的决策部署及盟委行署工作要求，</w:t>
      </w:r>
      <w:r>
        <w:rPr>
          <w:rFonts w:hint="eastAsia" w:ascii="仿宋_GB2312" w:hAnsi="仿宋_GB2312" w:eastAsia="仿宋_GB2312" w:cs="仿宋_GB2312"/>
          <w:i w:val="0"/>
          <w:iCs w:val="0"/>
          <w:caps w:val="0"/>
          <w:color w:val="auto"/>
          <w:spacing w:val="0"/>
          <w:sz w:val="32"/>
          <w:szCs w:val="32"/>
          <w:shd w:val="clear" w:fill="FFFFFF"/>
          <w:lang w:eastAsia="zh-CN"/>
        </w:rPr>
        <w:t>旗信访局</w:t>
      </w:r>
      <w:r>
        <w:rPr>
          <w:rFonts w:hint="eastAsia" w:ascii="仿宋_GB2312" w:hAnsi="仿宋_GB2312" w:eastAsia="仿宋_GB2312" w:cs="仿宋_GB2312"/>
          <w:i w:val="0"/>
          <w:iCs w:val="0"/>
          <w:caps w:val="0"/>
          <w:color w:val="auto"/>
          <w:spacing w:val="0"/>
          <w:sz w:val="32"/>
          <w:szCs w:val="32"/>
          <w:shd w:val="clear" w:fill="FFFFFF"/>
        </w:rPr>
        <w:t>始终坚持以人民为中心的发展思想，紧扣重点信访工作落实，扎实推进政府信息公开工作。</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主动公开情况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leftChars="200" w:right="0" w:rightChars="0" w:firstLine="640"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年，我局认真履行政府部门政务信息公开的工作职责，明确具体任务，压实工作责任，确保主动公开政府信息工作做到及时、准确、全面。依托</w:t>
      </w:r>
      <w:r>
        <w:rPr>
          <w:rFonts w:hint="eastAsia" w:ascii="仿宋_GB2312" w:hAnsi="仿宋_GB2312" w:eastAsia="仿宋_GB2312" w:cs="仿宋_GB2312"/>
          <w:i w:val="0"/>
          <w:iCs w:val="0"/>
          <w:caps w:val="0"/>
          <w:color w:val="auto"/>
          <w:spacing w:val="0"/>
          <w:sz w:val="32"/>
          <w:szCs w:val="32"/>
          <w:shd w:val="clear" w:fill="FFFFFF"/>
          <w:lang w:eastAsia="zh-CN"/>
        </w:rPr>
        <w:t>乌拉特前旗</w:t>
      </w:r>
      <w:r>
        <w:rPr>
          <w:rFonts w:hint="eastAsia" w:ascii="仿宋_GB2312" w:hAnsi="仿宋_GB2312" w:eastAsia="仿宋_GB2312" w:cs="仿宋_GB2312"/>
          <w:i w:val="0"/>
          <w:iCs w:val="0"/>
          <w:caps w:val="0"/>
          <w:color w:val="auto"/>
          <w:spacing w:val="0"/>
          <w:sz w:val="32"/>
          <w:szCs w:val="32"/>
          <w:shd w:val="clear" w:fill="FFFFFF"/>
        </w:rPr>
        <w:t>人民政府网信息</w:t>
      </w:r>
      <w:r>
        <w:rPr>
          <w:rFonts w:hint="eastAsia" w:ascii="仿宋_GB2312" w:hAnsi="仿宋_GB2312" w:eastAsia="仿宋_GB2312" w:cs="仿宋_GB2312"/>
          <w:i w:val="0"/>
          <w:iCs w:val="0"/>
          <w:caps w:val="0"/>
          <w:color w:val="auto"/>
          <w:spacing w:val="0"/>
          <w:sz w:val="32"/>
          <w:szCs w:val="32"/>
          <w:shd w:val="clear" w:fill="FFFFFF"/>
          <w:lang w:val="en-US" w:eastAsia="zh-CN"/>
        </w:rPr>
        <w:t>11</w:t>
      </w:r>
      <w:r>
        <w:rPr>
          <w:rFonts w:hint="eastAsia" w:ascii="仿宋_GB2312" w:hAnsi="仿宋_GB2312" w:eastAsia="仿宋_GB2312" w:cs="仿宋_GB2312"/>
          <w:i w:val="0"/>
          <w:iCs w:val="0"/>
          <w:caps w:val="0"/>
          <w:color w:val="auto"/>
          <w:spacing w:val="0"/>
          <w:sz w:val="32"/>
          <w:szCs w:val="32"/>
          <w:shd w:val="clear" w:fill="FFFFFF"/>
        </w:rPr>
        <w:t>条；微信公众号发布</w:t>
      </w:r>
      <w:r>
        <w:rPr>
          <w:rFonts w:hint="eastAsia" w:ascii="仿宋_GB2312" w:hAnsi="仿宋_GB2312" w:eastAsia="仿宋_GB2312" w:cs="仿宋_GB2312"/>
          <w:i w:val="0"/>
          <w:iCs w:val="0"/>
          <w:caps w:val="0"/>
          <w:color w:val="auto"/>
          <w:spacing w:val="0"/>
          <w:sz w:val="32"/>
          <w:szCs w:val="32"/>
          <w:shd w:val="clear" w:fill="FFFFFF"/>
          <w:lang w:val="en-US" w:eastAsia="zh-CN"/>
        </w:rPr>
        <w:t>223</w:t>
      </w:r>
      <w:r>
        <w:rPr>
          <w:rFonts w:hint="eastAsia" w:ascii="仿宋_GB2312" w:hAnsi="仿宋_GB2312" w:eastAsia="仿宋_GB2312" w:cs="仿宋_GB2312"/>
          <w:i w:val="0"/>
          <w:iCs w:val="0"/>
          <w:caps w:val="0"/>
          <w:color w:val="auto"/>
          <w:spacing w:val="0"/>
          <w:sz w:val="32"/>
          <w:szCs w:val="32"/>
          <w:shd w:val="clear" w:fill="FFFFFF"/>
        </w:rPr>
        <w:t>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（二）</w:t>
      </w:r>
      <w:r>
        <w:rPr>
          <w:rFonts w:hint="eastAsia" w:ascii="楷体_GB2312" w:hAnsi="楷体_GB2312" w:eastAsia="楷体_GB2312" w:cs="楷体_GB2312"/>
          <w:b/>
          <w:bCs/>
          <w:i w:val="0"/>
          <w:iCs w:val="0"/>
          <w:caps w:val="0"/>
          <w:color w:val="000000"/>
          <w:spacing w:val="0"/>
          <w:sz w:val="32"/>
          <w:szCs w:val="32"/>
          <w:shd w:val="clear" w:fill="FFFFFF"/>
        </w:rPr>
        <w:t>依</w:t>
      </w:r>
      <w:r>
        <w:rPr>
          <w:rFonts w:hint="eastAsia" w:ascii="楷体_GB2312" w:hAnsi="楷体_GB2312" w:eastAsia="楷体_GB2312" w:cs="楷体_GB2312"/>
          <w:b/>
          <w:bCs/>
          <w:i w:val="0"/>
          <w:iCs w:val="0"/>
          <w:caps w:val="0"/>
          <w:color w:val="000000"/>
          <w:spacing w:val="0"/>
          <w:sz w:val="32"/>
          <w:szCs w:val="32"/>
          <w:shd w:val="clear" w:fill="FFFFFF"/>
          <w:lang w:eastAsia="zh-CN"/>
        </w:rPr>
        <w:t>法</w:t>
      </w:r>
      <w:r>
        <w:rPr>
          <w:rFonts w:hint="eastAsia" w:ascii="楷体_GB2312" w:hAnsi="楷体_GB2312" w:eastAsia="楷体_GB2312" w:cs="楷体_GB2312"/>
          <w:b/>
          <w:bCs/>
          <w:i w:val="0"/>
          <w:iCs w:val="0"/>
          <w:caps w:val="0"/>
          <w:color w:val="000000"/>
          <w:spacing w:val="0"/>
          <w:sz w:val="32"/>
          <w:szCs w:val="32"/>
          <w:shd w:val="clear" w:fill="FFFFFF"/>
        </w:rPr>
        <w:t>申请公开情况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受理政府信息公开申请0件。受理有关政府信息公开方面的行政复议案件0件，行政诉讼案件0件。未发生公民、法人和其他组织认为行政机关不依法履行信息公开而提起举报。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（三）</w:t>
      </w:r>
      <w:r>
        <w:rPr>
          <w:rFonts w:hint="eastAsia" w:ascii="楷体_GB2312" w:hAnsi="楷体_GB2312" w:eastAsia="楷体_GB2312" w:cs="楷体_GB2312"/>
          <w:b/>
          <w:bCs/>
          <w:i w:val="0"/>
          <w:iCs w:val="0"/>
          <w:caps w:val="0"/>
          <w:color w:val="000000"/>
          <w:spacing w:val="0"/>
          <w:sz w:val="32"/>
          <w:szCs w:val="32"/>
          <w:shd w:val="clear" w:fill="FFFFFF"/>
        </w:rPr>
        <w:t>政府信息管理情况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我局认真贯彻落实《中华人民共和国政府信息公开条例》，进一步加强了组织领导，建立健全政府信息公开申请受理答复各</w:t>
      </w:r>
      <w:r>
        <w:rPr>
          <w:rFonts w:hint="eastAsia" w:ascii="仿宋_GB2312" w:hAnsi="仿宋_GB2312" w:eastAsia="仿宋_GB2312" w:cs="仿宋_GB2312"/>
          <w:i w:val="0"/>
          <w:iCs w:val="0"/>
          <w:caps w:val="0"/>
          <w:color w:val="auto"/>
          <w:spacing w:val="0"/>
          <w:sz w:val="32"/>
          <w:szCs w:val="32"/>
          <w:shd w:val="clear" w:fill="FFFFFF"/>
          <w:lang w:eastAsia="zh-CN"/>
        </w:rPr>
        <w:t>个</w:t>
      </w:r>
      <w:r>
        <w:rPr>
          <w:rFonts w:hint="eastAsia" w:ascii="仿宋_GB2312" w:hAnsi="仿宋_GB2312" w:eastAsia="仿宋_GB2312" w:cs="仿宋_GB2312"/>
          <w:i w:val="0"/>
          <w:iCs w:val="0"/>
          <w:caps w:val="0"/>
          <w:color w:val="auto"/>
          <w:spacing w:val="0"/>
          <w:sz w:val="32"/>
          <w:szCs w:val="32"/>
          <w:shd w:val="clear" w:fill="FFFFFF"/>
        </w:rPr>
        <w:t>环节制度规范，对所公开事项内容进行严格审核、把关，推动了我局政府信息公开工作进一步走上制度化、规范化轨道，切实提升了政府信息公开工作水平。</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（四）</w:t>
      </w:r>
      <w:r>
        <w:rPr>
          <w:rFonts w:hint="eastAsia" w:ascii="楷体_GB2312" w:hAnsi="楷体_GB2312" w:eastAsia="楷体_GB2312" w:cs="楷体_GB2312"/>
          <w:b/>
          <w:bCs/>
          <w:i w:val="0"/>
          <w:iCs w:val="0"/>
          <w:caps w:val="0"/>
          <w:color w:val="000000"/>
          <w:spacing w:val="0"/>
          <w:sz w:val="32"/>
          <w:szCs w:val="32"/>
          <w:shd w:val="clear" w:fill="FFFFFF"/>
        </w:rPr>
        <w:t>政府信息公开平台建设情况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我局高度重视宣传阵地建设，严格做好“</w:t>
      </w:r>
      <w:r>
        <w:rPr>
          <w:rFonts w:hint="eastAsia" w:ascii="仿宋_GB2312" w:hAnsi="仿宋_GB2312" w:eastAsia="仿宋_GB2312" w:cs="仿宋_GB2312"/>
          <w:i w:val="0"/>
          <w:iCs w:val="0"/>
          <w:caps w:val="0"/>
          <w:color w:val="auto"/>
          <w:spacing w:val="0"/>
          <w:sz w:val="32"/>
          <w:szCs w:val="32"/>
          <w:shd w:val="clear" w:fill="FFFFFF"/>
          <w:lang w:val="en-US" w:eastAsia="zh-CN"/>
        </w:rPr>
        <w:t>乌拉特前旗信访局</w:t>
      </w:r>
      <w:r>
        <w:rPr>
          <w:rFonts w:hint="eastAsia" w:ascii="仿宋_GB2312" w:hAnsi="仿宋_GB2312" w:eastAsia="仿宋_GB2312" w:cs="仿宋_GB2312"/>
          <w:i w:val="0"/>
          <w:iCs w:val="0"/>
          <w:caps w:val="0"/>
          <w:color w:val="auto"/>
          <w:spacing w:val="0"/>
          <w:sz w:val="32"/>
          <w:szCs w:val="32"/>
          <w:shd w:val="clear" w:fill="FFFFFF"/>
        </w:rPr>
        <w:t>”微信公众号和运行工作，把政务信息平台作为宣传工作的重要窗口，作为了解民情、听取民意、加强与人民群众联系的重要渠道，在建立健全政务公开栏的基础上，切实加大网站建设力度，及时更新局领导班子成员</w:t>
      </w:r>
      <w:r>
        <w:rPr>
          <w:rFonts w:hint="eastAsia" w:ascii="仿宋_GB2312" w:hAnsi="仿宋_GB2312" w:eastAsia="仿宋_GB2312" w:cs="仿宋_GB2312"/>
          <w:i w:val="0"/>
          <w:iCs w:val="0"/>
          <w:caps w:val="0"/>
          <w:color w:val="auto"/>
          <w:spacing w:val="0"/>
          <w:sz w:val="32"/>
          <w:szCs w:val="32"/>
          <w:shd w:val="clear" w:fill="FFFFFF"/>
          <w:lang w:eastAsia="zh-CN"/>
        </w:rPr>
        <w:t>介绍</w:t>
      </w:r>
      <w:r>
        <w:rPr>
          <w:rFonts w:hint="eastAsia" w:ascii="仿宋_GB2312" w:hAnsi="仿宋_GB2312" w:eastAsia="仿宋_GB2312" w:cs="仿宋_GB2312"/>
          <w:i w:val="0"/>
          <w:iCs w:val="0"/>
          <w:caps w:val="0"/>
          <w:color w:val="auto"/>
          <w:spacing w:val="0"/>
          <w:sz w:val="32"/>
          <w:szCs w:val="32"/>
          <w:shd w:val="clear" w:fill="FFFFFF"/>
        </w:rPr>
        <w:t>、内设机构及部门简介等，按照政府信息公开要求，对应主动公开的内容及时发布，确保相关信息动态内容全面、栏目清晰。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（五）</w:t>
      </w:r>
      <w:r>
        <w:rPr>
          <w:rFonts w:hint="eastAsia" w:ascii="楷体_GB2312" w:hAnsi="楷体_GB2312" w:eastAsia="楷体_GB2312" w:cs="楷体_GB2312"/>
          <w:b/>
          <w:bCs/>
          <w:i w:val="0"/>
          <w:iCs w:val="0"/>
          <w:caps w:val="0"/>
          <w:color w:val="000000"/>
          <w:spacing w:val="0"/>
          <w:sz w:val="32"/>
          <w:szCs w:val="32"/>
          <w:shd w:val="clear" w:fill="FFFFFF"/>
        </w:rPr>
        <w:t>监督保障情况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rightChars="0" w:firstLine="640" w:firstLineChars="200"/>
        <w:jc w:val="both"/>
        <w:textAlignment w:val="auto"/>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及时调整了政府信息公开工作领导小组，形成了以局主要领导统筹抓，分管领导具体抓，各科室合力抓的局面。局办公室具体负责机关的政府信息公开工作，明确专人负责管理、收集和发送。进一步完善了政府信息发布的内部审查、登记制度，明确信息公开负面清单等，形成了高效畅通的信息发布渠道。严格落实“谁主管、谁负责，谁发布、谁负责”的工作原则，不断加强与政务服务局工作对接，多次组织工作人员参加政务公开培训，</w:t>
      </w:r>
      <w:r>
        <w:rPr>
          <w:rFonts w:hint="eastAsia" w:ascii="仿宋_GB2312" w:hAnsi="仿宋_GB2312" w:eastAsia="仿宋_GB2312" w:cs="仿宋_GB2312"/>
          <w:i w:val="0"/>
          <w:iCs w:val="0"/>
          <w:caps w:val="0"/>
          <w:color w:val="333333"/>
          <w:spacing w:val="0"/>
          <w:sz w:val="32"/>
          <w:szCs w:val="32"/>
          <w:shd w:val="clear" w:fill="FFFFFF"/>
          <w:lang w:eastAsia="zh-CN"/>
        </w:rPr>
        <w:t>推动</w:t>
      </w:r>
      <w:r>
        <w:rPr>
          <w:rFonts w:hint="eastAsia" w:ascii="仿宋_GB2312" w:hAnsi="仿宋_GB2312" w:eastAsia="仿宋_GB2312" w:cs="仿宋_GB2312"/>
          <w:i w:val="0"/>
          <w:iCs w:val="0"/>
          <w:caps w:val="0"/>
          <w:color w:val="333333"/>
          <w:spacing w:val="0"/>
          <w:sz w:val="32"/>
          <w:szCs w:val="32"/>
          <w:shd w:val="clear" w:fill="FFFFFF"/>
        </w:rPr>
        <w:t>全局政务公开工作制度化、规范化、标准化水平进一步提升。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firstLine="643" w:firstLineChars="200"/>
        <w:jc w:val="both"/>
        <w:textAlignment w:val="auto"/>
        <w:rPr>
          <w:rFonts w:hint="eastAsia" w:ascii="黑体" w:hAnsi="黑体" w:eastAsia="黑体" w:cs="黑体"/>
          <w:b/>
          <w:bCs/>
          <w:color w:val="000000"/>
          <w:spacing w:val="0"/>
          <w:w w:val="100"/>
          <w:kern w:val="0"/>
          <w:position w:val="0"/>
          <w:sz w:val="32"/>
          <w:szCs w:val="32"/>
          <w:shd w:val="clear" w:color="auto" w:fill="auto"/>
          <w:lang w:val="en-US" w:eastAsia="zh-CN" w:bidi="en-US"/>
        </w:rPr>
      </w:pPr>
      <w:r>
        <w:rPr>
          <w:rFonts w:hint="eastAsia" w:ascii="黑体" w:hAnsi="黑体" w:eastAsia="黑体" w:cs="黑体"/>
          <w:b/>
          <w:bCs/>
          <w:color w:val="000000"/>
          <w:spacing w:val="0"/>
          <w:w w:val="100"/>
          <w:kern w:val="0"/>
          <w:position w:val="0"/>
          <w:sz w:val="32"/>
          <w:szCs w:val="32"/>
          <w:shd w:val="clear" w:color="auto" w:fill="auto"/>
          <w:lang w:val="en-US" w:eastAsia="zh-CN" w:bidi="en-US"/>
        </w:rPr>
        <w:t>二、主动公开政府信息情况</w:t>
      </w:r>
    </w:p>
    <w:tbl>
      <w:tblPr>
        <w:tblStyle w:val="6"/>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b/>
          <w:bCs/>
          <w:color w:val="000000"/>
          <w:spacing w:val="0"/>
          <w:w w:val="100"/>
          <w:kern w:val="0"/>
          <w:position w:val="0"/>
          <w:sz w:val="32"/>
          <w:szCs w:val="32"/>
          <w:shd w:val="clear" w:color="auto" w:fill="auto"/>
          <w:lang w:val="en-US" w:eastAsia="zh-CN" w:bidi="en-US"/>
        </w:rPr>
      </w:pPr>
      <w:r>
        <w:rPr>
          <w:rFonts w:hint="default" w:ascii="Times New Roman" w:hAnsi="Times New Roman" w:eastAsia="微软雅黑" w:cs="Times New Roman"/>
          <w:i w:val="0"/>
          <w:iCs w:val="0"/>
          <w:caps w:val="0"/>
          <w:color w:val="333333"/>
          <w:spacing w:val="0"/>
          <w:sz w:val="16"/>
          <w:szCs w:val="16"/>
          <w:u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firstLine="643" w:firstLineChars="200"/>
        <w:jc w:val="both"/>
        <w:textAlignment w:val="auto"/>
        <w:rPr>
          <w:rFonts w:hint="eastAsia" w:ascii="黑体" w:hAnsi="黑体" w:eastAsia="黑体" w:cs="黑体"/>
          <w:b/>
          <w:bCs/>
          <w:color w:val="000000"/>
          <w:spacing w:val="0"/>
          <w:w w:val="100"/>
          <w:kern w:val="0"/>
          <w:position w:val="0"/>
          <w:sz w:val="32"/>
          <w:szCs w:val="32"/>
          <w:shd w:val="clear" w:color="auto" w:fill="auto"/>
          <w:lang w:val="en-US" w:eastAsia="zh-CN" w:bidi="en-US"/>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tLeast"/>
        <w:ind w:right="0" w:firstLine="643" w:firstLineChars="200"/>
        <w:jc w:val="both"/>
        <w:textAlignment w:val="auto"/>
        <w:rPr>
          <w:rFonts w:hint="eastAsia" w:ascii="黑体" w:hAnsi="黑体" w:eastAsia="黑体" w:cs="黑体"/>
          <w:b/>
          <w:bCs/>
          <w:color w:val="000000"/>
          <w:spacing w:val="0"/>
          <w:w w:val="100"/>
          <w:kern w:val="0"/>
          <w:position w:val="0"/>
          <w:sz w:val="32"/>
          <w:szCs w:val="32"/>
          <w:shd w:val="clear" w:color="auto" w:fill="auto"/>
          <w:lang w:val="en-US" w:eastAsia="zh-CN" w:bidi="en-US"/>
        </w:rPr>
      </w:pPr>
      <w:r>
        <w:rPr>
          <w:rFonts w:hint="eastAsia" w:ascii="黑体" w:hAnsi="黑体" w:eastAsia="黑体" w:cs="黑体"/>
          <w:b/>
          <w:bCs/>
          <w:color w:val="000000"/>
          <w:spacing w:val="0"/>
          <w:w w:val="100"/>
          <w:kern w:val="0"/>
          <w:position w:val="0"/>
          <w:sz w:val="32"/>
          <w:szCs w:val="32"/>
          <w:shd w:val="clear" w:color="auto" w:fill="auto"/>
          <w:lang w:val="en-US" w:eastAsia="zh-CN" w:bidi="en-US"/>
        </w:rPr>
        <w:t>三、收到和处理政府信息公开申请情况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334"/>
        <w:jc w:val="both"/>
        <w:textAlignment w:val="auto"/>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6" w:hRule="atLeast"/>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2"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7" w:hRule="atLeast"/>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333333"/>
          <w:spacing w:val="0"/>
          <w:sz w:val="32"/>
          <w:szCs w:val="32"/>
          <w:u w:val="none"/>
          <w:shd w:val="clear" w:fill="FFFFFF"/>
        </w:rPr>
      </w:pPr>
      <w:r>
        <w:rPr>
          <w:rFonts w:hint="eastAsia" w:ascii="宋体" w:hAnsi="宋体" w:eastAsia="宋体" w:cs="宋体"/>
          <w:i w:val="0"/>
          <w:iCs w:val="0"/>
          <w:caps w:val="0"/>
          <w:color w:val="333333"/>
          <w:spacing w:val="0"/>
          <w:sz w:val="19"/>
          <w:szCs w:val="19"/>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640" w:firstLineChars="200"/>
        <w:jc w:val="both"/>
        <w:rPr>
          <w:rFonts w:hint="eastAsia" w:ascii="微软雅黑" w:hAnsi="微软雅黑" w:eastAsia="微软雅黑" w:cs="微软雅黑"/>
          <w:i w:val="0"/>
          <w:iCs w:val="0"/>
          <w:caps w:val="0"/>
          <w:color w:val="333333"/>
          <w:spacing w:val="0"/>
          <w:sz w:val="18"/>
          <w:szCs w:val="18"/>
          <w:u w:val="none"/>
        </w:rPr>
      </w:pPr>
      <w:r>
        <w:rPr>
          <w:rFonts w:hint="eastAsia" w:ascii="黑体" w:hAnsi="黑体" w:eastAsia="黑体" w:cs="黑体"/>
          <w:i w:val="0"/>
          <w:iCs w:val="0"/>
          <w:caps w:val="0"/>
          <w:color w:val="333333"/>
          <w:spacing w:val="0"/>
          <w:sz w:val="32"/>
          <w:szCs w:val="32"/>
          <w:u w:val="none"/>
          <w:shd w:val="clear" w:fill="FFFFFF"/>
        </w:rPr>
        <w:t> </w:t>
      </w:r>
      <w:r>
        <w:rPr>
          <w:rFonts w:hint="eastAsia" w:ascii="黑体" w:hAnsi="黑体" w:eastAsia="黑体" w:cs="黑体"/>
          <w:b/>
          <w:bCs/>
          <w:color w:val="000000"/>
          <w:spacing w:val="0"/>
          <w:w w:val="100"/>
          <w:kern w:val="0"/>
          <w:position w:val="0"/>
          <w:sz w:val="32"/>
          <w:szCs w:val="32"/>
          <w:shd w:val="clear" w:color="auto" w:fill="auto"/>
          <w:lang w:val="en-US" w:eastAsia="zh-CN" w:bidi="en-US"/>
        </w:rPr>
        <w:t>四、政府信息公开行政复议、行政诉讼情况</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jc w:val="both"/>
        <w:textAlignment w:val="baseline"/>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default"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五、存在的主要问题及改进情况</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仿宋_GB2312" w:hAnsi="微软雅黑" w:eastAsia="仿宋_GB2312" w:cs="仿宋_GB2312"/>
          <w:i w:val="0"/>
          <w:iCs w:val="0"/>
          <w:caps w:val="0"/>
          <w:color w:val="auto"/>
          <w:spacing w:val="0"/>
          <w:sz w:val="32"/>
          <w:szCs w:val="32"/>
          <w:shd w:val="clear" w:fill="FFFFFF"/>
        </w:rPr>
      </w:pPr>
      <w:r>
        <w:rPr>
          <w:rFonts w:hint="default" w:ascii="仿宋_GB2312" w:hAnsi="Times New Roman" w:eastAsia="仿宋_GB2312" w:cs="仿宋_GB2312"/>
          <w:i w:val="0"/>
          <w:iCs w:val="0"/>
          <w:caps w:val="0"/>
          <w:color w:val="auto"/>
          <w:spacing w:val="0"/>
          <w:sz w:val="32"/>
          <w:szCs w:val="32"/>
          <w:shd w:val="clear" w:fill="FFFFFF"/>
        </w:rPr>
        <w:t>部分栏目公开不及时、主动公开信息的质量还不够高，还有待于进一步拓展公开形式，满足公众获知信息的需求。政务新媒体方面，偏重更新工作动态、重要新闻等以理性灌输的单向传播，</w:t>
      </w:r>
      <w:r>
        <w:rPr>
          <w:rFonts w:hint="default" w:ascii="仿宋_GB2312" w:hAnsi="微软雅黑" w:eastAsia="仿宋_GB2312" w:cs="仿宋_GB2312"/>
          <w:i w:val="0"/>
          <w:iCs w:val="0"/>
          <w:caps w:val="0"/>
          <w:color w:val="auto"/>
          <w:spacing w:val="0"/>
          <w:sz w:val="32"/>
          <w:szCs w:val="32"/>
          <w:shd w:val="clear" w:fill="FFFFFF"/>
        </w:rPr>
        <w:t>内容还不够丰富，缺乏创新。在政府信息公开工作中存在宣传解读展现形式不丰富，政府信息公开质量还需进一步提升。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lang w:val="en-US" w:eastAsia="zh-CN"/>
        </w:rPr>
      </w:pPr>
      <w:r>
        <w:rPr>
          <w:rFonts w:hint="eastAsia" w:ascii="仿宋_GB2312" w:hAnsi="微软雅黑" w:eastAsia="仿宋_GB2312" w:cs="仿宋_GB2312"/>
          <w:i w:val="0"/>
          <w:iCs w:val="0"/>
          <w:caps w:val="0"/>
          <w:color w:val="auto"/>
          <w:spacing w:val="0"/>
          <w:sz w:val="32"/>
          <w:szCs w:val="32"/>
          <w:shd w:val="clear" w:fill="FFFFFF"/>
          <w:lang w:eastAsia="zh-CN"/>
        </w:rPr>
        <w:t>接下来我局将</w:t>
      </w:r>
      <w:r>
        <w:rPr>
          <w:rFonts w:hint="default" w:ascii="仿宋_GB2312" w:hAnsi="微软雅黑" w:eastAsia="仿宋_GB2312" w:cs="仿宋_GB2312"/>
          <w:i w:val="0"/>
          <w:iCs w:val="0"/>
          <w:caps w:val="0"/>
          <w:color w:val="auto"/>
          <w:spacing w:val="0"/>
          <w:sz w:val="32"/>
          <w:szCs w:val="32"/>
          <w:shd w:val="clear" w:fill="FFFFFF"/>
        </w:rPr>
        <w:t>不断</w:t>
      </w:r>
      <w:r>
        <w:rPr>
          <w:rFonts w:hint="default" w:ascii="仿宋_GB2312" w:hAnsi="Times New Roman" w:eastAsia="仿宋_GB2312" w:cs="仿宋_GB2312"/>
          <w:i w:val="0"/>
          <w:iCs w:val="0"/>
          <w:caps w:val="0"/>
          <w:color w:val="auto"/>
          <w:spacing w:val="0"/>
          <w:sz w:val="32"/>
          <w:szCs w:val="32"/>
          <w:shd w:val="clear" w:fill="FFFFFF"/>
        </w:rPr>
        <w:t>提高</w:t>
      </w:r>
      <w:r>
        <w:rPr>
          <w:rFonts w:hint="default" w:ascii="仿宋_GB2312" w:hAnsi="微软雅黑" w:eastAsia="仿宋_GB2312" w:cs="仿宋_GB2312"/>
          <w:i w:val="0"/>
          <w:iCs w:val="0"/>
          <w:caps w:val="0"/>
          <w:color w:val="auto"/>
          <w:spacing w:val="0"/>
          <w:sz w:val="32"/>
          <w:szCs w:val="32"/>
          <w:shd w:val="clear" w:fill="FFFFFF"/>
        </w:rPr>
        <w:t>干部职工对政府信息公开工作的</w:t>
      </w:r>
      <w:r>
        <w:rPr>
          <w:rFonts w:hint="default" w:ascii="仿宋_GB2312" w:hAnsi="Times New Roman" w:eastAsia="仿宋_GB2312" w:cs="仿宋_GB2312"/>
          <w:i w:val="0"/>
          <w:iCs w:val="0"/>
          <w:caps w:val="0"/>
          <w:color w:val="auto"/>
          <w:spacing w:val="0"/>
          <w:sz w:val="32"/>
          <w:szCs w:val="32"/>
          <w:shd w:val="clear" w:fill="FFFFFF"/>
        </w:rPr>
        <w:t>思想认识，切实加强组织领导，提高信息公开工作的质量和水平；</w:t>
      </w:r>
      <w:r>
        <w:rPr>
          <w:rFonts w:hint="default" w:ascii="仿宋_GB2312" w:hAnsi="微软雅黑" w:eastAsia="仿宋_GB2312" w:cs="仿宋_GB2312"/>
          <w:i w:val="0"/>
          <w:iCs w:val="0"/>
          <w:caps w:val="0"/>
          <w:color w:val="auto"/>
          <w:spacing w:val="0"/>
          <w:sz w:val="32"/>
          <w:szCs w:val="32"/>
          <w:shd w:val="clear" w:fill="FFFFFF"/>
        </w:rPr>
        <w:t>不</w:t>
      </w:r>
      <w:r>
        <w:rPr>
          <w:rFonts w:hint="default" w:ascii="仿宋_GB2312" w:hAnsi="Times New Roman" w:eastAsia="仿宋_GB2312" w:cs="仿宋_GB2312"/>
          <w:i w:val="0"/>
          <w:iCs w:val="0"/>
          <w:caps w:val="0"/>
          <w:color w:val="auto"/>
          <w:spacing w:val="0"/>
          <w:sz w:val="32"/>
          <w:szCs w:val="32"/>
          <w:shd w:val="clear" w:fill="FFFFFF"/>
        </w:rPr>
        <w:t>断强化政务公开和政务新媒体运行维护和管理</w:t>
      </w:r>
      <w:r>
        <w:rPr>
          <w:rFonts w:hint="default" w:ascii="仿宋_GB2312" w:hAnsi="微软雅黑" w:eastAsia="仿宋_GB2312" w:cs="仿宋_GB2312"/>
          <w:i w:val="0"/>
          <w:iCs w:val="0"/>
          <w:caps w:val="0"/>
          <w:color w:val="auto"/>
          <w:spacing w:val="0"/>
          <w:sz w:val="32"/>
          <w:szCs w:val="32"/>
          <w:shd w:val="clear" w:fill="FFFFFF"/>
        </w:rPr>
        <w:t>，</w:t>
      </w:r>
      <w:r>
        <w:rPr>
          <w:rFonts w:hint="default" w:ascii="仿宋_GB2312" w:hAnsi="Times New Roman" w:eastAsia="仿宋_GB2312" w:cs="仿宋_GB2312"/>
          <w:i w:val="0"/>
          <w:iCs w:val="0"/>
          <w:caps w:val="0"/>
          <w:color w:val="auto"/>
          <w:spacing w:val="0"/>
          <w:sz w:val="32"/>
          <w:szCs w:val="32"/>
          <w:shd w:val="clear" w:fill="FFFFFF"/>
        </w:rPr>
        <w:t>将政府信息公开工作和日常业务工作紧密结合，加强信息内容监督审核</w:t>
      </w:r>
      <w:r>
        <w:rPr>
          <w:rFonts w:hint="default" w:ascii="仿宋_GB2312" w:hAnsi="微软雅黑" w:eastAsia="仿宋_GB2312" w:cs="仿宋_GB2312"/>
          <w:i w:val="0"/>
          <w:iCs w:val="0"/>
          <w:caps w:val="0"/>
          <w:color w:val="auto"/>
          <w:spacing w:val="0"/>
          <w:sz w:val="32"/>
          <w:szCs w:val="32"/>
          <w:shd w:val="clear" w:fill="FFFFFF"/>
        </w:rPr>
        <w:t>，</w:t>
      </w:r>
      <w:r>
        <w:rPr>
          <w:rFonts w:hint="default" w:ascii="仿宋_GB2312" w:hAnsi="Times New Roman" w:eastAsia="仿宋_GB2312" w:cs="仿宋_GB2312"/>
          <w:i w:val="0"/>
          <w:iCs w:val="0"/>
          <w:caps w:val="0"/>
          <w:color w:val="auto"/>
          <w:spacing w:val="0"/>
          <w:sz w:val="32"/>
          <w:szCs w:val="32"/>
          <w:shd w:val="clear" w:fill="FFFFFF"/>
        </w:rPr>
        <w:t>保证信息及时公开；做好工作动态宣传，加大发布力度，灵活传递政务信息，提升机关效能，</w:t>
      </w:r>
      <w:r>
        <w:rPr>
          <w:rFonts w:hint="default" w:ascii="仿宋_GB2312" w:hAnsi="微软雅黑" w:eastAsia="仿宋_GB2312" w:cs="仿宋_GB2312"/>
          <w:i w:val="0"/>
          <w:iCs w:val="0"/>
          <w:caps w:val="0"/>
          <w:color w:val="auto"/>
          <w:spacing w:val="0"/>
          <w:sz w:val="32"/>
          <w:szCs w:val="32"/>
          <w:shd w:val="clear" w:fill="FFFFFF"/>
        </w:rPr>
        <w:t>主动接受</w:t>
      </w:r>
      <w:r>
        <w:rPr>
          <w:rFonts w:hint="default" w:ascii="仿宋_GB2312" w:hAnsi="Times New Roman" w:eastAsia="仿宋_GB2312" w:cs="仿宋_GB2312"/>
          <w:i w:val="0"/>
          <w:iCs w:val="0"/>
          <w:caps w:val="0"/>
          <w:color w:val="auto"/>
          <w:spacing w:val="0"/>
          <w:sz w:val="32"/>
          <w:szCs w:val="32"/>
          <w:shd w:val="clear" w:fill="FFFFFF"/>
        </w:rPr>
        <w:t>群众监督。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left"/>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暂无其他报告事项。</w:t>
      </w:r>
    </w:p>
    <w:p>
      <w:pPr>
        <w:pStyle w:val="2"/>
        <w:ind w:left="0" w:leftChars="0" w:firstLine="0" w:firstLineChars="0"/>
        <w:rPr>
          <w:rFonts w:hint="eastAsia" w:ascii="仿宋_GB2312" w:hAnsi="仿宋_GB2312" w:eastAsia="仿宋_GB2312" w:cs="仿宋_GB2312"/>
          <w:sz w:val="32"/>
          <w:szCs w:val="32"/>
        </w:rPr>
      </w:pPr>
    </w:p>
    <w:p>
      <w:pPr>
        <w:ind w:firstLine="4800" w:firstLineChars="1500"/>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乌拉特前旗</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信访局</w:t>
      </w:r>
    </w:p>
    <w:p>
      <w:pPr>
        <w:pStyle w:val="2"/>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EE178"/>
    <w:multiLevelType w:val="singleLevel"/>
    <w:tmpl w:val="75BEE1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 w:name="KSO_WPS_MARK_KEY" w:val="3a893b5a-1672-47a4-bfb5-1e92170676d5"/>
  </w:docVars>
  <w:rsids>
    <w:rsidRoot w:val="2AF17B93"/>
    <w:rsid w:val="005469B7"/>
    <w:rsid w:val="00973FB8"/>
    <w:rsid w:val="00B5443F"/>
    <w:rsid w:val="01A050EF"/>
    <w:rsid w:val="034675D0"/>
    <w:rsid w:val="040F3E66"/>
    <w:rsid w:val="04842AA6"/>
    <w:rsid w:val="05095936"/>
    <w:rsid w:val="06C4362D"/>
    <w:rsid w:val="0768045D"/>
    <w:rsid w:val="0869448C"/>
    <w:rsid w:val="093E76C7"/>
    <w:rsid w:val="0AB435D3"/>
    <w:rsid w:val="0AF3628F"/>
    <w:rsid w:val="0E625C06"/>
    <w:rsid w:val="0F0C3DC3"/>
    <w:rsid w:val="0F6E05DA"/>
    <w:rsid w:val="113F222E"/>
    <w:rsid w:val="117143B2"/>
    <w:rsid w:val="11D706B9"/>
    <w:rsid w:val="14681A9C"/>
    <w:rsid w:val="15A9236C"/>
    <w:rsid w:val="16493207"/>
    <w:rsid w:val="1720040C"/>
    <w:rsid w:val="17DD454F"/>
    <w:rsid w:val="184F003E"/>
    <w:rsid w:val="192D6E10"/>
    <w:rsid w:val="19597C05"/>
    <w:rsid w:val="197B401F"/>
    <w:rsid w:val="1A3903DE"/>
    <w:rsid w:val="1ACD08AB"/>
    <w:rsid w:val="202A40A9"/>
    <w:rsid w:val="22DB5B2F"/>
    <w:rsid w:val="25493224"/>
    <w:rsid w:val="268A3AF4"/>
    <w:rsid w:val="27455C6D"/>
    <w:rsid w:val="283F26BC"/>
    <w:rsid w:val="2A24600D"/>
    <w:rsid w:val="2ABE5B1A"/>
    <w:rsid w:val="2AEA4E99"/>
    <w:rsid w:val="2AF17B93"/>
    <w:rsid w:val="2BBA09D7"/>
    <w:rsid w:val="2CC17B44"/>
    <w:rsid w:val="2CCF04B2"/>
    <w:rsid w:val="2CED26E7"/>
    <w:rsid w:val="2E0F7CF8"/>
    <w:rsid w:val="2F6F7D2B"/>
    <w:rsid w:val="2FAD0853"/>
    <w:rsid w:val="30A12166"/>
    <w:rsid w:val="31E83DC4"/>
    <w:rsid w:val="32791381"/>
    <w:rsid w:val="33527747"/>
    <w:rsid w:val="33EA1A09"/>
    <w:rsid w:val="34164C19"/>
    <w:rsid w:val="357A4D33"/>
    <w:rsid w:val="36EE3C2B"/>
    <w:rsid w:val="370F3C38"/>
    <w:rsid w:val="3B07350D"/>
    <w:rsid w:val="3C7544A7"/>
    <w:rsid w:val="3CB11983"/>
    <w:rsid w:val="3D5D7415"/>
    <w:rsid w:val="3D69571D"/>
    <w:rsid w:val="3E1321C9"/>
    <w:rsid w:val="3E4D56DB"/>
    <w:rsid w:val="3E990920"/>
    <w:rsid w:val="47F72214"/>
    <w:rsid w:val="481105CB"/>
    <w:rsid w:val="4A4B386B"/>
    <w:rsid w:val="4ABF170F"/>
    <w:rsid w:val="4AD351BA"/>
    <w:rsid w:val="4AFD2237"/>
    <w:rsid w:val="4AFF1B0B"/>
    <w:rsid w:val="4B437844"/>
    <w:rsid w:val="4BB9615E"/>
    <w:rsid w:val="4C3D6D8F"/>
    <w:rsid w:val="516923D4"/>
    <w:rsid w:val="51D11D27"/>
    <w:rsid w:val="52911BE2"/>
    <w:rsid w:val="53A2397B"/>
    <w:rsid w:val="55B1434A"/>
    <w:rsid w:val="55D17AFB"/>
    <w:rsid w:val="56F3629C"/>
    <w:rsid w:val="571132F2"/>
    <w:rsid w:val="599B6EA3"/>
    <w:rsid w:val="5A272E2C"/>
    <w:rsid w:val="5A89319F"/>
    <w:rsid w:val="5C4E46A0"/>
    <w:rsid w:val="5D3E2967"/>
    <w:rsid w:val="60807424"/>
    <w:rsid w:val="60EE1FAE"/>
    <w:rsid w:val="62067B29"/>
    <w:rsid w:val="63B37E5A"/>
    <w:rsid w:val="63D062E3"/>
    <w:rsid w:val="65102E3B"/>
    <w:rsid w:val="65BF660F"/>
    <w:rsid w:val="661701F9"/>
    <w:rsid w:val="670C5884"/>
    <w:rsid w:val="672A3F5C"/>
    <w:rsid w:val="67FA1B80"/>
    <w:rsid w:val="68F16ADF"/>
    <w:rsid w:val="6BBD714D"/>
    <w:rsid w:val="6C027255"/>
    <w:rsid w:val="6C6677E4"/>
    <w:rsid w:val="6EFA06B8"/>
    <w:rsid w:val="6F2179F2"/>
    <w:rsid w:val="6FAF7B52"/>
    <w:rsid w:val="71793B16"/>
    <w:rsid w:val="723839D1"/>
    <w:rsid w:val="756845CD"/>
    <w:rsid w:val="78570929"/>
    <w:rsid w:val="7A5275FA"/>
    <w:rsid w:val="7AE364A4"/>
    <w:rsid w:val="7BE349AD"/>
    <w:rsid w:val="7C5C4760"/>
    <w:rsid w:val="7DC26A87"/>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spacing w:line="306" w:lineRule="auto"/>
      <w:ind w:left="419"/>
    </w:pPr>
  </w:style>
  <w:style w:type="paragraph" w:styleId="4">
    <w:name w:val="toc 1"/>
    <w:basedOn w:val="1"/>
    <w:next w:val="1"/>
    <w:autoRedefine/>
    <w:qFormat/>
    <w:uiPriority w:val="0"/>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2111</Words>
  <Characters>2186</Characters>
  <Lines>0</Lines>
  <Paragraphs>0</Paragraphs>
  <TotalTime>0</TotalTime>
  <ScaleCrop>false</ScaleCrop>
  <LinksUpToDate>false</LinksUpToDate>
  <CharactersWithSpaces>2200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cp:lastPrinted>2024-01-15T10:02:00Z</cp:lastPrinted>
  <dcterms:modified xsi:type="dcterms:W3CDTF">2024-01-19T08:17:13Z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6291616B845C4C7AA8700E849EFD2CAF_13</vt:lpwstr>
  </property>
</Properties>
</file>