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政务服务局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ind w:firstLine="640" w:firstLineChars="200"/>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本年度报告电子版可以从乌拉特前旗人民政府门户网站（http://www.wltqq.gov.cn）下载，如对本年度报告有疑问，请与乌拉特前旗政务服务局联系（电话：0478-3267955）。</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总体情况</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坚持以习近平新时代中国特色社会主义思想为指导，将政务公开工作与全旗政府的工作要求相结合，稳步提升全旗政务公开工作质效。</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主动公开情况</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依托政务服务大厅开展“码上说”问卷调查、在微信公众号开设政务服务征求意见专栏，广泛收集短板问题、意见建议。全年</w:t>
      </w:r>
      <w:bookmarkStart w:id="0" w:name="_GoBack"/>
      <w:bookmarkEnd w:id="0"/>
      <w:r>
        <w:rPr>
          <w:rFonts w:hint="eastAsia" w:ascii="仿宋" w:hAnsi="仿宋" w:eastAsia="仿宋" w:cs="仿宋"/>
          <w:color w:val="000000" w:themeColor="text1"/>
          <w:sz w:val="32"/>
          <w:szCs w:val="32"/>
          <w:highlight w:val="none"/>
          <w:lang w:val="en-US" w:eastAsia="zh-CN"/>
          <w14:textFill>
            <w14:solidFill>
              <w14:schemeClr w14:val="tx1"/>
            </w14:solidFill>
          </w14:textFill>
        </w:rPr>
        <w:t>共收集到各类意见建议19条，收到好差评评价近7万条。针对群众反映强烈的“上班没空办、下班没处办”难题，将139项周末不打烊、延时服务事项拓展延伸为1650项。</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在大厅LED电子显示大屏滚动播放国家相关法律法规、重要文件、相关工作宣传资料。制作中心窗口单位位置示意图和单位人员信息牌、监督举报投诉电话等信息，张贴和摆放于政务大厅显眼位置。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截止2023年12月底，乌拉特前旗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政务服务局微信公众号发布政务大厅咨询和预约电话以及周末不打烊、延时服务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等各类</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信息共计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依申请公开情况</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进一步明确办理规则，完善办理流程，提高答复效率，强化服务理念，加强与申请人的沟通，更好满足群众和市场主体对政府信息的个性化合理需求。202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年，未收到政府信息公开申请。</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政府信息管理情况</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落实公开属性源头认定机制，在起草文件、审签文件过程中，即明确文件属性为秘密或普通。为进一步加强对政府信息公开工作的组织领导，根据人事变动和机构变更及时调整我局政府信息公开工作领导小组，明确办公室负责政务公开和政府信息公开材料收集和具体公开工作，局其他科室按职能配合负责相关项目的责任，提供需公开的信息项目，切实保障我局政府信息公开工作顺利开展。</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政府信息公开平台建设情况</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我</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坚持“以公开为常态，不公开为例外”的原则，以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乌拉特前旗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人民政府网站、政务服务大厅为主要公开平台，按照政府信息公开条例要求，及时、准确、规范地发布政务公开信息。</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监督保障情况</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我局成立了由主要领导任组长，局领导班子成员为副组长，各股室负责人为成员的政务公开工作领导小组，领导小组下设办公室，确定专人负责政务公开的日常工作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，加强政府信息公开内部督导检查，对网上公开信息实行实时监测，并将政务工作纳入绩效考核，确保政务公开各项工作有规划、有推进、有落实。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t>二、主动公开政府信息情况</w:t>
      </w:r>
    </w:p>
    <w:tbl>
      <w:tblPr>
        <w:tblStyle w:val="7"/>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信息内容</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本年制发件数</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本年废止件数</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规章</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ascii="Calibri" w:hAnsi="Calibri" w:eastAsia="宋体" w:cs="Calibri"/>
                <w:color w:val="000000" w:themeColor="text1"/>
                <w:sz w:val="16"/>
                <w:szCs w:val="16"/>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行政规范性文件</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Calibri" w:hAnsi="Calibri" w:eastAsia="宋体" w:cs="Calibri"/>
                <w:color w:val="000000" w:themeColor="text1"/>
                <w:sz w:val="16"/>
                <w:szCs w:val="16"/>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信息内容</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行政许可</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Calibri" w:hAnsi="Calibri" w:eastAsia="宋体" w:cs="Calibri"/>
                <w:color w:val="000000" w:themeColor="text1"/>
                <w:sz w:val="16"/>
                <w:szCs w:val="16"/>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信息内容</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行政处罚</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行政强制</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信息内容</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行政事业性收费</w:t>
            </w:r>
          </w:p>
        </w:tc>
        <w:tc>
          <w:tcPr>
            <w:tcW w:w="5844"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themeColor="text1"/>
          <w:spacing w:val="0"/>
          <w:sz w:val="16"/>
          <w:szCs w:val="16"/>
          <w:u w:val="none"/>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6"/>
          <w:szCs w:val="16"/>
          <w:u w:val="none"/>
          <w:shd w:val="clear" w:fill="FFFFFF"/>
          <w14:textFill>
            <w14:solidFill>
              <w14:schemeClr w14:val="tx1"/>
            </w14:solidFill>
          </w14:textFill>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t>三、收到和处理政府信息公开申请情况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themeColor="text1"/>
          <w:spacing w:val="0"/>
          <w:sz w:val="18"/>
          <w:szCs w:val="18"/>
          <w:u w:val="none"/>
          <w14:textFill>
            <w14:solidFill>
              <w14:schemeClr w14:val="tx1"/>
            </w14:solidFill>
          </w14:textFill>
        </w:rPr>
      </w:pPr>
      <w:r>
        <w:rPr>
          <w:rFonts w:hint="eastAsia" w:ascii="宋体" w:hAnsi="宋体" w:eastAsia="宋体" w:cs="宋体"/>
          <w:i w:val="0"/>
          <w:iCs w:val="0"/>
          <w:caps w:val="0"/>
          <w:color w:val="000000" w:themeColor="text1"/>
          <w:spacing w:val="0"/>
          <w:sz w:val="19"/>
          <w:szCs w:val="19"/>
          <w:u w:val="none"/>
          <w:shd w:val="clear" w:fill="FFFFFF"/>
          <w14:textFill>
            <w14:solidFill>
              <w14:schemeClr w14:val="tx1"/>
            </w14:solidFill>
          </w14:textFill>
        </w:rPr>
        <w:t> </w:t>
      </w:r>
    </w:p>
    <w:tbl>
      <w:tblPr>
        <w:tblStyle w:val="7"/>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ascii="楷体" w:hAnsi="楷体" w:eastAsia="楷体" w:cs="楷体"/>
                <w:color w:val="000000" w:themeColor="text1"/>
                <w:sz w:val="15"/>
                <w:szCs w:val="15"/>
                <w:u w:val="none"/>
                <w14:textFill>
                  <w14:solidFill>
                    <w14:schemeClr w14:val="tx1"/>
                  </w14:solidFill>
                </w14:textFill>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商业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科研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000000" w:themeColor="text1"/>
                <w:sz w:val="24"/>
                <w:szCs w:val="24"/>
                <w:u w:val="none"/>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（二）部分公开</w:t>
            </w:r>
            <w:r>
              <w:rPr>
                <w:rFonts w:hint="eastAsia" w:ascii="楷体" w:hAnsi="楷体" w:eastAsia="楷体" w:cs="楷体"/>
                <w:color w:val="000000" w:themeColor="text1"/>
                <w:sz w:val="15"/>
                <w:szCs w:val="15"/>
                <w:u w:val="none"/>
                <w14:textFill>
                  <w14:solidFill>
                    <w14:schemeClr w14:val="tx1"/>
                  </w14:solidFill>
                </w14:textFill>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lang w:eastAsia="zh-CN"/>
                <w14:textFill>
                  <w14:solidFill>
                    <w14:schemeClr w14:val="tx1"/>
                  </w14:solidFill>
                </w14:textFill>
              </w:rPr>
            </w:pPr>
            <w:r>
              <w:rPr>
                <w:rFonts w:hint="eastAsia" w:ascii="Times New Roman" w:hAnsi="Times New Roman" w:cs="Times New Roman"/>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default" w:ascii="Times New Roman" w:hAnsi="Times New Roman" w:eastAsia="宋体" w:cs="Times New Roman"/>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9"/>
                <w:szCs w:val="19"/>
                <w:u w:val="none"/>
                <w14:textFill>
                  <w14:solidFill>
                    <w14:schemeClr w14:val="tx1"/>
                  </w14:solidFill>
                </w14:textFill>
              </w:rPr>
              <w:t>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16"/>
          <w:szCs w:val="16"/>
          <w:u w:val="none"/>
          <w14:textFill>
            <w14:solidFill>
              <w14:schemeClr w14:val="tx1"/>
            </w14:solidFill>
          </w14:textFill>
        </w:rPr>
      </w:pPr>
      <w:r>
        <w:rPr>
          <w:rFonts w:hint="eastAsia" w:ascii="宋体" w:hAnsi="宋体" w:eastAsia="宋体" w:cs="宋体"/>
          <w:i w:val="0"/>
          <w:iCs w:val="0"/>
          <w:caps w:val="0"/>
          <w:color w:val="000000" w:themeColor="text1"/>
          <w:spacing w:val="0"/>
          <w:sz w:val="19"/>
          <w:szCs w:val="19"/>
          <w:u w:val="none"/>
          <w:shd w:val="clear" w:fill="FFFFFF"/>
          <w14:textFill>
            <w14:solidFill>
              <w14:schemeClr w14:val="tx1"/>
            </w14:solidFill>
          </w14:textFill>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both"/>
        <w:rPr>
          <w:rFonts w:hint="eastAsia" w:ascii="微软雅黑" w:hAnsi="微软雅黑" w:eastAsia="微软雅黑" w:cs="微软雅黑"/>
          <w:i w:val="0"/>
          <w:iCs w:val="0"/>
          <w:caps w:val="0"/>
          <w:color w:val="000000" w:themeColor="text1"/>
          <w:spacing w:val="0"/>
          <w:sz w:val="18"/>
          <w:szCs w:val="18"/>
          <w:u w:val="none"/>
          <w14:textFill>
            <w14:solidFill>
              <w14:schemeClr w14:val="tx1"/>
            </w14:solidFill>
          </w14:textFill>
        </w:rPr>
      </w:pPr>
      <w:r>
        <w:rPr>
          <w:rFonts w:hint="eastAsia" w:ascii="黑体" w:hAnsi="宋体" w:eastAsia="黑体" w:cs="黑体"/>
          <w:i w:val="0"/>
          <w:iCs w:val="0"/>
          <w:caps w:val="0"/>
          <w:color w:val="000000" w:themeColor="text1"/>
          <w:spacing w:val="0"/>
          <w:sz w:val="25"/>
          <w:szCs w:val="25"/>
          <w:u w:val="none"/>
          <w:shd w:val="clear" w:fill="FFFFFF"/>
          <w14:textFill>
            <w14:solidFill>
              <w14:schemeClr w14:val="tx1"/>
            </w14:solidFill>
          </w14:textFill>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shd w:val="clear" w:color="auto" w:fill="auto"/>
          <w:lang w:val="en-US" w:eastAsia="zh-CN" w:bidi="en-US"/>
          <w14:textFill>
            <w14:solidFill>
              <w14:schemeClr w14:val="tx1"/>
            </w14:solidFill>
          </w14:textFill>
        </w:rPr>
        <w:t>四、政府信息公开行政复议、行政诉讼情况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000000" w:themeColor="text1"/>
          <w:spacing w:val="0"/>
          <w:sz w:val="18"/>
          <w:szCs w:val="18"/>
          <w:u w:val="none"/>
          <w14:textFill>
            <w14:solidFill>
              <w14:schemeClr w14:val="tx1"/>
            </w14:solidFill>
          </w14:textFill>
        </w:rPr>
      </w:pPr>
    </w:p>
    <w:tbl>
      <w:tblPr>
        <w:tblStyle w:val="7"/>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行政复议</w:t>
            </w:r>
          </w:p>
        </w:tc>
        <w:tc>
          <w:tcPr>
            <w:tcW w:w="5208" w:type="dxa"/>
            <w:gridSpan w:val="10"/>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结果维持</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纠正</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其他</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结果</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尚未</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审结</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总计</w:t>
            </w:r>
          </w:p>
        </w:tc>
        <w:tc>
          <w:tcPr>
            <w:tcW w:w="2604"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未经复议直接起诉</w:t>
            </w:r>
          </w:p>
        </w:tc>
        <w:tc>
          <w:tcPr>
            <w:tcW w:w="2604"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000000" w:themeColor="text1"/>
                <w:sz w:val="24"/>
                <w:szCs w:val="24"/>
                <w:u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维持</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纠正</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其他</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结果</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尚未</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审结</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总计</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维持</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结果</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纠正</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其他</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结果</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尚未</w:t>
            </w:r>
            <w:r>
              <w:rPr>
                <w:rFonts w:hint="eastAsia" w:ascii="微软雅黑" w:hAnsi="微软雅黑" w:eastAsia="微软雅黑" w:cs="微软雅黑"/>
                <w:color w:val="000000" w:themeColor="text1"/>
                <w:sz w:val="15"/>
                <w:szCs w:val="15"/>
                <w:u w:val="none"/>
                <w14:textFill>
                  <w14:solidFill>
                    <w14:schemeClr w14:val="tx1"/>
                  </w14:solidFill>
                </w14:textFill>
              </w:rPr>
              <w:br w:type="textWrapping"/>
            </w:r>
            <w:r>
              <w:rPr>
                <w:rFonts w:hint="eastAsia" w:ascii="宋体" w:hAnsi="宋体" w:eastAsia="宋体" w:cs="宋体"/>
                <w:color w:val="000000" w:themeColor="text1"/>
                <w:sz w:val="15"/>
                <w:szCs w:val="15"/>
                <w:u w:val="none"/>
                <w14:textFill>
                  <w14:solidFill>
                    <w14:schemeClr w14:val="tx1"/>
                  </w14:solidFill>
                </w14:textFill>
              </w:rPr>
              <w:t>审结</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eastAsia="宋体" w:cs="宋体"/>
                <w:color w:val="000000" w:themeColor="text1"/>
                <w:sz w:val="15"/>
                <w:szCs w:val="15"/>
                <w:u w:val="none"/>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lang w:val="en-US" w:eastAsia="zh-CN"/>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1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themeColor="text1"/>
                <w:sz w:val="16"/>
                <w:szCs w:val="16"/>
                <w:u w:val="none"/>
                <w14:textFill>
                  <w14:solidFill>
                    <w14:schemeClr w14:val="tx1"/>
                  </w14:solidFill>
                </w14:textFill>
              </w:rPr>
            </w:pPr>
            <w:r>
              <w:rPr>
                <w:rFonts w:hint="eastAsia" w:ascii="宋体" w:hAnsi="宋体" w:cs="宋体"/>
                <w:color w:val="000000" w:themeColor="text1"/>
                <w:sz w:val="15"/>
                <w:szCs w:val="15"/>
                <w:u w:val="none"/>
                <w:lang w:val="en-US" w:eastAsia="zh-CN"/>
                <w14:textFill>
                  <w14:solidFill>
                    <w14:schemeClr w14:val="tx1"/>
                  </w14:solidFill>
                </w14:textFill>
              </w:rPr>
              <w:t>0</w:t>
            </w:r>
          </w:p>
        </w:tc>
      </w:tr>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存在的主要问题及改进情况</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存在的问题。</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年，我局政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信息公开工作机制需进一步完善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关于信息公开等内容的政策法规培训相对偏少、公开渠道多样化有待拓宽。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改进情况。</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一是完善工作机制，进一步强化对信息公开工作的领导，明确工作责任，分工协作。扎实做好政务公开工作，不断完善信息公开制度，进一步明确公开内容，对公开时限进行明确规定，形成良好的运行机制。二是进一步强化宣传，结合工作实际，通过组织各类培训，提升信息公开意识</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工作质量和服务水平。同时，加大宣传力度，让广大群众和服务对象关注公开情况、监督公开情况。</w:t>
      </w:r>
    </w:p>
    <w:p>
      <w:pPr>
        <w:pStyle w:val="2"/>
        <w:rPr>
          <w:rFonts w:hint="default" w:eastAsia="微软雅黑"/>
          <w:color w:val="000000" w:themeColor="text1"/>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黑体" w:hAnsi="黑体" w:eastAsia="黑体" w:cs="黑体"/>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bCs/>
          <w:i w:val="0"/>
          <w:iCs w:val="0"/>
          <w:caps w:val="0"/>
          <w:color w:val="000000" w:themeColor="text1"/>
          <w:spacing w:val="0"/>
          <w:kern w:val="0"/>
          <w:sz w:val="32"/>
          <w:szCs w:val="32"/>
          <w:shd w:val="clear" w:fill="FFFFFF"/>
          <w:lang w:val="en-US" w:eastAsia="zh-CN" w:bidi="ar"/>
          <w14:textFill>
            <w14:solidFill>
              <w14:schemeClr w14:val="tx1"/>
            </w14:solidFill>
          </w14:textFill>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ind w:firstLine="4480" w:firstLineChars="1400"/>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乌拉特前旗</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政务服务局</w:t>
      </w:r>
    </w:p>
    <w:p>
      <w:pPr>
        <w:pStyle w:val="5"/>
        <w:ind w:firstLine="4480" w:firstLineChars="14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0BCCC"/>
    <w:multiLevelType w:val="singleLevel"/>
    <w:tmpl w:val="FF00BCCC"/>
    <w:lvl w:ilvl="0" w:tentative="0">
      <w:start w:val="5"/>
      <w:numFmt w:val="chineseCounting"/>
      <w:suff w:val="nothing"/>
      <w:lvlText w:val="%1、"/>
      <w:lvlJc w:val="left"/>
      <w:rPr>
        <w:rFonts w:hint="eastAsia"/>
      </w:rPr>
    </w:lvl>
  </w:abstractNum>
  <w:abstractNum w:abstractNumId="1">
    <w:nsid w:val="253EA5B7"/>
    <w:multiLevelType w:val="singleLevel"/>
    <w:tmpl w:val="253EA5B7"/>
    <w:lvl w:ilvl="0" w:tentative="0">
      <w:start w:val="1"/>
      <w:numFmt w:val="chineseCounting"/>
      <w:suff w:val="nothing"/>
      <w:lvlText w:val="（%1）"/>
      <w:lvlJc w:val="left"/>
      <w:rPr>
        <w:rFonts w:hint="eastAsia"/>
      </w:rPr>
    </w:lvl>
  </w:abstractNum>
  <w:abstractNum w:abstractNumId="2">
    <w:nsid w:val="63C7ECC8"/>
    <w:multiLevelType w:val="singleLevel"/>
    <w:tmpl w:val="63C7ECC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8045D"/>
    <w:rsid w:val="0869448C"/>
    <w:rsid w:val="093E76C7"/>
    <w:rsid w:val="0AB435D3"/>
    <w:rsid w:val="0E625C06"/>
    <w:rsid w:val="0F0C3DC3"/>
    <w:rsid w:val="113F222E"/>
    <w:rsid w:val="117143B2"/>
    <w:rsid w:val="11D706B9"/>
    <w:rsid w:val="14681A9C"/>
    <w:rsid w:val="15A9236C"/>
    <w:rsid w:val="16493207"/>
    <w:rsid w:val="17DD454F"/>
    <w:rsid w:val="192D6E10"/>
    <w:rsid w:val="19597C05"/>
    <w:rsid w:val="197B401F"/>
    <w:rsid w:val="1A3903DE"/>
    <w:rsid w:val="1ACD08AB"/>
    <w:rsid w:val="25493224"/>
    <w:rsid w:val="268A3AF4"/>
    <w:rsid w:val="27455C6D"/>
    <w:rsid w:val="2A24600D"/>
    <w:rsid w:val="2A693A20"/>
    <w:rsid w:val="2ABE5B1A"/>
    <w:rsid w:val="2AF17B93"/>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7F72214"/>
    <w:rsid w:val="481105CB"/>
    <w:rsid w:val="4ABF170F"/>
    <w:rsid w:val="4AD351BA"/>
    <w:rsid w:val="4AFD2237"/>
    <w:rsid w:val="4C3D6D8F"/>
    <w:rsid w:val="516923D4"/>
    <w:rsid w:val="52911BE2"/>
    <w:rsid w:val="52AF2D38"/>
    <w:rsid w:val="52CC5FCE"/>
    <w:rsid w:val="55B1434A"/>
    <w:rsid w:val="55D17AFB"/>
    <w:rsid w:val="56F3629C"/>
    <w:rsid w:val="571132F2"/>
    <w:rsid w:val="599B6EA3"/>
    <w:rsid w:val="5A272E2C"/>
    <w:rsid w:val="5A89319F"/>
    <w:rsid w:val="5D3E2967"/>
    <w:rsid w:val="600357A2"/>
    <w:rsid w:val="60EE1FAE"/>
    <w:rsid w:val="63B37E5A"/>
    <w:rsid w:val="63D062E3"/>
    <w:rsid w:val="63F518A5"/>
    <w:rsid w:val="65102E3B"/>
    <w:rsid w:val="65BF660F"/>
    <w:rsid w:val="661701F9"/>
    <w:rsid w:val="670C5884"/>
    <w:rsid w:val="67FA1B80"/>
    <w:rsid w:val="68531926"/>
    <w:rsid w:val="68F16ADF"/>
    <w:rsid w:val="6C027255"/>
    <w:rsid w:val="6EFA06B8"/>
    <w:rsid w:val="6FAF7B52"/>
    <w:rsid w:val="723839D1"/>
    <w:rsid w:val="756845CD"/>
    <w:rsid w:val="78570929"/>
    <w:rsid w:val="7A5275FA"/>
    <w:rsid w:val="7B9F23CB"/>
    <w:rsid w:val="7BE349AD"/>
    <w:rsid w:val="7C5C4760"/>
    <w:rsid w:val="7D274384"/>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560" w:firstLineChars="200"/>
      <w:jc w:val="left"/>
    </w:pPr>
  </w:style>
  <w:style w:type="paragraph" w:styleId="4">
    <w:name w:val="toc 1"/>
    <w:basedOn w:val="1"/>
    <w:next w:val="1"/>
    <w:autoRedefine/>
    <w:qFormat/>
    <w:uiPriority w:val="0"/>
  </w:style>
  <w:style w:type="paragraph" w:styleId="5">
    <w:name w:val="toc 2"/>
    <w:basedOn w:val="1"/>
    <w:next w:val="1"/>
    <w:autoRedefine/>
    <w:qFormat/>
    <w:uiPriority w:val="0"/>
    <w:pPr>
      <w:spacing w:line="306" w:lineRule="auto"/>
      <w:ind w:left="419"/>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2024-01-16T09:57:00Z</cp:lastPrinted>
  <dcterms:modified xsi:type="dcterms:W3CDTF">2024-01-18T02:58:03Z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3CB39A4564344A40AC16117855A4DC34_13</vt:lpwstr>
  </property>
</Properties>
</file>