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E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lang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lang w:eastAsia="zh-CN"/>
          <w14:textFill>
            <w14:solidFill>
              <w14:schemeClr w14:val="tx1"/>
            </w14:solidFill>
          </w14:textFill>
        </w:rPr>
        <w:t>卫生健康委员会</w:t>
      </w:r>
    </w:p>
    <w:p w14:paraId="30FB67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8"/>
          <w:szCs w:val="48"/>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14:textFill>
            <w14:solidFill>
              <w14:schemeClr w14:val="tx1"/>
            </w14:solidFill>
          </w14:textFill>
        </w:rPr>
        <w:t>年政府信息公开</w:t>
      </w:r>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8"/>
          <w:szCs w:val="48"/>
          <w:shd w:val="clear" w:fill="FFFFFF"/>
          <w14:textFill>
            <w14:solidFill>
              <w14:schemeClr w14:val="tx1"/>
            </w14:solidFill>
          </w14:textFill>
        </w:rPr>
        <w:t>年度报告</w:t>
      </w:r>
    </w:p>
    <w:p w14:paraId="6A63552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val="en-US" w:eastAsia="zh-CN"/>
        </w:rPr>
      </w:pPr>
    </w:p>
    <w:p w14:paraId="131B5541">
      <w:pPr>
        <w:ind w:firstLine="640" w:firstLineChars="200"/>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年度报告电子版可以从乌拉特前旗人民政府门户网站（http://www.wltqq.gov.cn）下载，如对本年度报告有疑问，请与乌拉特前旗卫生健康委员会联系（电话：0478-2216466）。</w:t>
      </w:r>
    </w:p>
    <w:p w14:paraId="0140CEAF">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总体情况</w:t>
      </w:r>
    </w:p>
    <w:p w14:paraId="43F6577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2023</w:t>
      </w:r>
      <w:r>
        <w:rPr>
          <w:rFonts w:hint="eastAsia" w:ascii="仿宋_GB2312" w:hAnsi="仿宋_GB2312" w:eastAsia="仿宋_GB2312" w:cs="仿宋_GB2312"/>
          <w:i w:val="0"/>
          <w:iCs w:val="0"/>
          <w:caps w:val="0"/>
          <w:color w:val="333333"/>
          <w:spacing w:val="0"/>
          <w:sz w:val="32"/>
          <w:szCs w:val="32"/>
          <w:shd w:val="clear" w:fill="FFFFFF"/>
        </w:rPr>
        <w:t>年，我委认真贯彻落实国家、自治区和</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旗委</w:t>
      </w:r>
      <w:r>
        <w:rPr>
          <w:rFonts w:hint="eastAsia" w:ascii="仿宋_GB2312" w:hAnsi="仿宋_GB2312" w:eastAsia="仿宋_GB2312" w:cs="仿宋_GB2312"/>
          <w:i w:val="0"/>
          <w:iCs w:val="0"/>
          <w:caps w:val="0"/>
          <w:color w:val="333333"/>
          <w:spacing w:val="0"/>
          <w:sz w:val="32"/>
          <w:szCs w:val="32"/>
          <w:shd w:val="clear" w:fill="FFFFFF"/>
        </w:rPr>
        <w:t>决策部署，按照《中华人民共和国政府信息公开条例》和《202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年政务公开工作要点》等文件精神要求，加强组织领导，完善制度建设，丰富信息公开渠道和内容，加强政策解读及回应关切，推进卫生健康领域公共企事业单位信息公开，不断提升政府信息公开影响力。</w:t>
      </w:r>
    </w:p>
    <w:p w14:paraId="7F0E9C1E">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主动公开情况</w:t>
      </w:r>
    </w:p>
    <w:p w14:paraId="32B24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i w:val="0"/>
          <w:iCs w:val="0"/>
          <w:caps w:val="0"/>
          <w:color w:val="2B2B2B"/>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围绕202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年政务公开工作要点和卫生健康中心工作以及人民群众关心的热点重点问题，及时准确公开信息。</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2023年在卫健委公众号主动发布工作动态、通知公告等各类信息简报493条。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同时充分利用微信、各医院公众号等平台，实时发布卫生健康各类活动及疫情防控信息简报，进一步扩大政务公开的覆盖面和影响力。</w:t>
      </w:r>
    </w:p>
    <w:p w14:paraId="6DF3F25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jc w:val="both"/>
        <w:rPr>
          <w:rFonts w:hint="eastAsia" w:ascii="仿宋" w:hAnsi="仿宋" w:eastAsia="仿宋" w:cs="仿宋"/>
          <w:b/>
          <w:bCs/>
          <w:i w:val="0"/>
          <w:iCs w:val="0"/>
          <w:caps w:val="0"/>
          <w:color w:val="000000"/>
          <w:spacing w:val="0"/>
          <w:sz w:val="32"/>
          <w:szCs w:val="32"/>
          <w:shd w:val="clear" w:fill="FFFFFF"/>
        </w:rPr>
      </w:pPr>
    </w:p>
    <w:p w14:paraId="53DC541B">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依申请公开情况</w:t>
      </w:r>
    </w:p>
    <w:p w14:paraId="19818B8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畅通信息公开申请受理渠道和方式，健全受理、办理、答复工作机制，及时回应依申请公开诉求，切实做好依申请公开工作。</w:t>
      </w:r>
      <w:r>
        <w:rPr>
          <w:rFonts w:hint="eastAsia" w:ascii="仿宋_GB2312" w:hAnsi="仿宋_GB2312" w:eastAsia="仿宋_GB2312" w:cs="仿宋_GB2312"/>
          <w:i w:val="0"/>
          <w:iCs w:val="0"/>
          <w:caps w:val="0"/>
          <w:color w:val="333333"/>
          <w:spacing w:val="0"/>
          <w:sz w:val="32"/>
          <w:szCs w:val="32"/>
          <w:highlight w:val="none"/>
          <w:shd w:val="clear" w:fill="FFFFFF"/>
        </w:rPr>
        <w:t>202</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333333"/>
          <w:spacing w:val="0"/>
          <w:sz w:val="32"/>
          <w:szCs w:val="32"/>
          <w:highlight w:val="none"/>
          <w:shd w:val="clear" w:fill="FFFFFF"/>
        </w:rPr>
        <w:t>年，我委</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未</w:t>
      </w:r>
      <w:r>
        <w:rPr>
          <w:rFonts w:hint="eastAsia" w:ascii="仿宋_GB2312" w:hAnsi="仿宋_GB2312" w:eastAsia="仿宋_GB2312" w:cs="仿宋_GB2312"/>
          <w:i w:val="0"/>
          <w:iCs w:val="0"/>
          <w:caps w:val="0"/>
          <w:color w:val="333333"/>
          <w:spacing w:val="0"/>
          <w:sz w:val="32"/>
          <w:szCs w:val="32"/>
          <w:highlight w:val="none"/>
          <w:shd w:val="clear" w:fill="FFFFFF"/>
        </w:rPr>
        <w:t>收到公开事项，未收到行政复议和行政诉讼。</w:t>
      </w:r>
    </w:p>
    <w:p w14:paraId="6BA96B4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政府信息管理情况</w:t>
      </w:r>
    </w:p>
    <w:p w14:paraId="0ABBAE8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进一步完善政府信息发布审核机制、保密审查制度、台账管理机制和责任追究制度，明确信息公开审核审查流程和责任，严格落实信息发布“一件一审”管理制度。</w:t>
      </w:r>
    </w:p>
    <w:p w14:paraId="254137FD">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政府信息公开平台建设情况</w:t>
      </w:r>
    </w:p>
    <w:p w14:paraId="13389B3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不断加强委门户网站和政务新媒体管理，制定完善《</w:t>
      </w:r>
      <w:r>
        <w:rPr>
          <w:rFonts w:hint="eastAsia" w:ascii="仿宋_GB2312" w:hAnsi="仿宋_GB2312" w:eastAsia="仿宋_GB2312" w:cs="仿宋_GB2312"/>
          <w:i w:val="0"/>
          <w:iCs w:val="0"/>
          <w:caps w:val="0"/>
          <w:color w:val="333333"/>
          <w:spacing w:val="0"/>
          <w:sz w:val="32"/>
          <w:szCs w:val="32"/>
          <w:shd w:val="clear" w:fill="FFFFFF"/>
          <w:lang w:eastAsia="zh-CN"/>
        </w:rPr>
        <w:t>乌拉特前旗</w:t>
      </w:r>
      <w:r>
        <w:rPr>
          <w:rFonts w:hint="eastAsia" w:ascii="仿宋_GB2312" w:hAnsi="仿宋_GB2312" w:eastAsia="仿宋_GB2312" w:cs="仿宋_GB2312"/>
          <w:i w:val="0"/>
          <w:iCs w:val="0"/>
          <w:caps w:val="0"/>
          <w:color w:val="333333"/>
          <w:spacing w:val="0"/>
          <w:sz w:val="32"/>
          <w:szCs w:val="32"/>
          <w:shd w:val="clear" w:fill="FFFFFF"/>
        </w:rPr>
        <w:t>卫生健康委门户网站管理制度》等制度，在委门户网站加强健康科普知识宣传，充分利用门户网站和政务新媒体做好政务公开工作。</w:t>
      </w:r>
    </w:p>
    <w:p w14:paraId="3D74C879">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监督保障情况</w:t>
      </w:r>
    </w:p>
    <w:p w14:paraId="2B3F617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一是根据人员变动情况及时调整委政务公开领导小组，由委主要领导负总责，分管领导具体抓，委办公室、宣教科、法规与综合监督科牵头推进，进一步明确人员职责。二是建立信息报送发布工作考评制度，切实提升信息公开工作整体水平。三是扎实开展政务公开工作存在问题整改整治，针对错敏词等问题及时整改并反馈相关领导和科室，并建立易错词表送委全体人员传阅，进一步加强信息公开工作。</w:t>
      </w:r>
    </w:p>
    <w:p w14:paraId="6B99B2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14:paraId="2793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14:paraId="33D600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14:paraId="4619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7F124F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526B76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06CA0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3AD715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14:paraId="072A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55835E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14:paraId="28BA9F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14:paraId="7DD8CA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14:paraId="4AD9C0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14:paraId="1573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72C2E2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14:paraId="20D8C7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14:paraId="29D34D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14:paraId="3DAE4E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14:paraId="6AAD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14:paraId="05CB0A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14:paraId="4C7F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0A37A3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14:paraId="03DCA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381</w:t>
            </w:r>
          </w:p>
        </w:tc>
      </w:tr>
      <w:tr w14:paraId="6356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34300A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14:paraId="08BC65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14:paraId="345D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14:paraId="59AB02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14:paraId="61A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553A32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79AD42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14:paraId="3108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66E823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14:paraId="30E867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333333"/>
                <w:sz w:val="16"/>
                <w:szCs w:val="16"/>
                <w:u w:val="none"/>
                <w:lang w:val="en-US" w:eastAsia="zh-CN"/>
              </w:rPr>
            </w:pPr>
            <w:r>
              <w:rPr>
                <w:rFonts w:hint="eastAsia" w:ascii="微软雅黑" w:hAnsi="微软雅黑" w:eastAsia="微软雅黑" w:cs="微软雅黑"/>
                <w:color w:val="333333"/>
                <w:sz w:val="16"/>
                <w:szCs w:val="16"/>
                <w:u w:val="none"/>
                <w:lang w:val="en-US" w:eastAsia="zh-CN"/>
              </w:rPr>
              <w:t>21</w:t>
            </w:r>
          </w:p>
        </w:tc>
      </w:tr>
      <w:tr w14:paraId="7234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3114BC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14:paraId="70AB0D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14:paraId="68C1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14:paraId="65F3F2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14:paraId="0CAA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4C7182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14:paraId="460B64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14:paraId="1B5C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7ECC14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14:paraId="7E498C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14:paraId="0A7383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14:paraId="5D463D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三、收到和处理政府信息公开申请情况</w:t>
      </w:r>
    </w:p>
    <w:p w14:paraId="10D4E8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14:paraId="7C9915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14:paraId="2F0345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7FE846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14:paraId="60F6CB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14:paraId="777E331D">
            <w:pPr>
              <w:rPr>
                <w:rFonts w:hint="eastAsia" w:ascii="微软雅黑" w:hAnsi="微软雅黑" w:eastAsia="微软雅黑" w:cs="微软雅黑"/>
                <w:color w:val="333333"/>
                <w:sz w:val="24"/>
                <w:szCs w:val="24"/>
                <w:u w:val="none"/>
              </w:rPr>
            </w:pPr>
          </w:p>
        </w:tc>
        <w:tc>
          <w:tcPr>
            <w:tcW w:w="552" w:type="dxa"/>
            <w:vMerge w:val="restart"/>
            <w:tcBorders>
              <w:top w:val="nil"/>
              <w:left w:val="nil"/>
              <w:bottom w:val="single" w:color="auto" w:sz="4" w:space="0"/>
              <w:right w:val="single" w:color="auto" w:sz="4" w:space="0"/>
            </w:tcBorders>
            <w:shd w:val="clear" w:color="auto" w:fill="auto"/>
            <w:tcMar>
              <w:left w:w="48" w:type="dxa"/>
              <w:right w:w="48" w:type="dxa"/>
            </w:tcMar>
            <w:vAlign w:val="center"/>
          </w:tcPr>
          <w:p w14:paraId="6A5B9F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090950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nil"/>
              <w:bottom w:val="outset" w:color="auto" w:sz="4" w:space="0"/>
              <w:right w:val="single" w:color="auto" w:sz="4" w:space="0"/>
            </w:tcBorders>
            <w:shd w:val="clear" w:color="auto" w:fill="auto"/>
            <w:tcMar>
              <w:left w:w="48" w:type="dxa"/>
              <w:right w:w="48" w:type="dxa"/>
            </w:tcMar>
            <w:vAlign w:val="center"/>
          </w:tcPr>
          <w:p w14:paraId="288A31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14:paraId="0446B5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14:paraId="0C66257D">
            <w:pPr>
              <w:rPr>
                <w:rFonts w:hint="eastAsia" w:ascii="微软雅黑" w:hAnsi="微软雅黑" w:eastAsia="微软雅黑" w:cs="微软雅黑"/>
                <w:color w:val="333333"/>
                <w:sz w:val="24"/>
                <w:szCs w:val="24"/>
                <w:u w:val="none"/>
              </w:rPr>
            </w:pPr>
          </w:p>
        </w:tc>
        <w:tc>
          <w:tcPr>
            <w:tcW w:w="552" w:type="dxa"/>
            <w:vMerge w:val="continue"/>
            <w:tcBorders>
              <w:top w:val="nil"/>
              <w:left w:val="nil"/>
              <w:bottom w:val="single" w:color="auto" w:sz="4" w:space="0"/>
              <w:right w:val="single" w:color="auto" w:sz="4" w:space="0"/>
            </w:tcBorders>
            <w:shd w:val="clear" w:color="auto" w:fill="auto"/>
            <w:tcMar>
              <w:left w:w="48" w:type="dxa"/>
              <w:right w:w="48" w:type="dxa"/>
            </w:tcMar>
            <w:vAlign w:val="center"/>
          </w:tcPr>
          <w:p w14:paraId="12F7F5F4">
            <w:pPr>
              <w:jc w:val="center"/>
              <w:rPr>
                <w:rFonts w:hint="eastAsia" w:ascii="微软雅黑" w:hAnsi="微软雅黑" w:eastAsia="微软雅黑" w:cs="微软雅黑"/>
                <w:color w:val="333333"/>
                <w:sz w:val="24"/>
                <w:szCs w:val="24"/>
                <w:u w:val="none"/>
              </w:rPr>
            </w:pP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D2E9B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14:paraId="1FC519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12761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14:paraId="61A4FA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28742A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1DA22A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690F4B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nil"/>
              <w:bottom w:val="outset" w:color="auto" w:sz="4" w:space="0"/>
              <w:right w:val="single" w:color="auto" w:sz="4" w:space="0"/>
            </w:tcBorders>
            <w:shd w:val="clear" w:color="auto" w:fill="auto"/>
            <w:tcMar>
              <w:left w:w="48" w:type="dxa"/>
              <w:right w:w="48" w:type="dxa"/>
            </w:tcMar>
            <w:vAlign w:val="center"/>
          </w:tcPr>
          <w:p w14:paraId="2BD8CB80">
            <w:pPr>
              <w:jc w:val="center"/>
              <w:rPr>
                <w:rFonts w:hint="eastAsia" w:ascii="微软雅黑" w:hAnsi="微软雅黑" w:eastAsia="微软雅黑" w:cs="微软雅黑"/>
                <w:color w:val="333333"/>
                <w:sz w:val="24"/>
                <w:szCs w:val="24"/>
                <w:u w:val="none"/>
              </w:rPr>
            </w:pPr>
          </w:p>
        </w:tc>
      </w:tr>
      <w:tr w14:paraId="1444F1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4390D6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54324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57303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6F4E4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CAAF9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EEC2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7EDC5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50E92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14:paraId="587813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2149EE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15F70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E3AA8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7957B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8FE4D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ECF52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3F5A3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4124F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58D97C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31C94E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14:paraId="29474B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88A0A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9D86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637BD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6B1AE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20159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1C9B6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66AD86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14:paraId="65F2E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1FDD0771">
            <w:pPr>
              <w:rPr>
                <w:rFonts w:hint="eastAsia" w:ascii="微软雅黑" w:hAnsi="微软雅黑" w:eastAsia="微软雅黑" w:cs="微软雅黑"/>
                <w:color w:val="333333"/>
                <w:sz w:val="24"/>
                <w:szCs w:val="24"/>
                <w:u w:val="none"/>
              </w:rPr>
            </w:pP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14:paraId="74502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6EF25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0EA82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5FEC0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53E77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2B94D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1A035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B4726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4EAFF1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73F2DCCD">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14:paraId="6E3FA8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736C8D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0659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9B0E9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98888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EA598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C065B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C7C86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14:paraId="06B46E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678841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127874BE">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315A3B0C">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3FFF78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00785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D65C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93A75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AEB0B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00987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CAD82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E975B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075AD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29150F2D">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6A43575D">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68A029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22B86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2E192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40670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01837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F16F8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7A009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CE43D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156F50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72666048">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14C049AF">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294FB1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C2F9B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3A524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6075A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79150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12A3F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F586B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02911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79E5C7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2666CD05">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16D52087">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11D257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BC953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73D60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63201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D57D6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1929E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52B88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85623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06B57B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3ED4F765">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07514706">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4AB593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36384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751C6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F3F89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2E193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86929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814D8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16EE8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2A7C5E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67D69EB8">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081E928D">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5AA9E1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6CBFD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4DE68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30F39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91E0A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B0B8C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27604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AC602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23A49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5B04BBD0">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5B5745FA">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50896C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ED1B3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69189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AB216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4F94E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BAC68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B2464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23C21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50293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3BD73232">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14:paraId="46E926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245451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F1FC7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73008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1552C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6F593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07820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75D1A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C4210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2C36C4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12F63283">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41AB758F">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4FEEFD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6670F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26EEE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3B1DF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33884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015AE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28EC1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EBCF0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510A1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1EF79F94">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5861EEC1">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165458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548D2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92498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63F65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B6288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39095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0C51B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C19EE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63D13B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246D1FD4">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14:paraId="18792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5F7519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3FA2C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A5453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6B74C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8B6EA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1865C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0F093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397BD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7E93EC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3AA736C1">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66FA9A98">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4C2608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D76EC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D6331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A072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6B6EC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C5020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C0002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ECFC4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6E6B53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2CFFEE90">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4E69DE34">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25FA3A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EB179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F7BB6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0DB35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DF634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4F163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1AD0B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2BD65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17448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3B011361">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278DA112">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67452F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FAED8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4E464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AFE9C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85DD5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DB26F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48BE0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D85A9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47274D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546C8073">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43710DD0">
            <w:pPr>
              <w:rPr>
                <w:rFonts w:hint="eastAsia" w:ascii="微软雅黑" w:hAnsi="微软雅黑" w:eastAsia="微软雅黑" w:cs="微软雅黑"/>
                <w:color w:val="333333"/>
                <w:sz w:val="24"/>
                <w:szCs w:val="24"/>
                <w:u w:val="none"/>
              </w:rPr>
            </w:pPr>
          </w:p>
        </w:tc>
        <w:tc>
          <w:tcPr>
            <w:tcW w:w="2580" w:type="dxa"/>
            <w:tcBorders>
              <w:top w:val="nil"/>
              <w:left w:val="nil"/>
              <w:bottom w:val="outset" w:color="auto" w:sz="4" w:space="0"/>
              <w:right w:val="single" w:color="auto" w:sz="4" w:space="0"/>
            </w:tcBorders>
            <w:shd w:val="clear" w:color="auto" w:fill="auto"/>
            <w:tcMar>
              <w:left w:w="48" w:type="dxa"/>
              <w:right w:w="48" w:type="dxa"/>
            </w:tcMar>
            <w:vAlign w:val="center"/>
          </w:tcPr>
          <w:p w14:paraId="5E7D87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6828CD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0301D2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674459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2AFB3E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284B2B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5E514A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14:paraId="3BE563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7A248E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6DE7571F">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14:paraId="7155A3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172E1D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FA2A3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B8D13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C68E1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C5E14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6FEDC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A3464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F329E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473999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23F6E166">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02821141">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4DD5BB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AB21A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A36F0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1049F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1B517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9543D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AEFA0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0C4E0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43EAA4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393180EA">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14:paraId="3F2CB1F6">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14:paraId="0E152B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306C4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5FFBA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43DBB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68AED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14A2B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23866B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4BF59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14:paraId="77F66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14:paraId="4483A3DE">
            <w:pPr>
              <w:rPr>
                <w:rFonts w:hint="eastAsia" w:ascii="微软雅黑" w:hAnsi="微软雅黑" w:eastAsia="微软雅黑" w:cs="微软雅黑"/>
                <w:color w:val="333333"/>
                <w:sz w:val="24"/>
                <w:szCs w:val="24"/>
                <w:u w:val="none"/>
              </w:rPr>
            </w:pP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14:paraId="4AA0EF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DEAD5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F912E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11529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5CE4BE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3F96A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0CA6E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7F76C9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14:paraId="5B5AC9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14:paraId="61C7C1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00E16B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21384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654CF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4F2948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BDA42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1A15E0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14:paraId="35E312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14:paraId="42B666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6"/>
          <w:szCs w:val="16"/>
          <w:u w:val="none"/>
        </w:rPr>
      </w:pPr>
      <w:r>
        <w:rPr>
          <w:rFonts w:hint="eastAsia" w:ascii="宋体" w:hAnsi="宋体" w:eastAsia="宋体" w:cs="宋体"/>
          <w:i w:val="0"/>
          <w:iCs w:val="0"/>
          <w:caps w:val="0"/>
          <w:color w:val="333333"/>
          <w:spacing w:val="0"/>
          <w:sz w:val="19"/>
          <w:szCs w:val="19"/>
          <w:u w:val="none"/>
          <w:shd w:val="clear" w:fill="FFFFFF"/>
        </w:rPr>
        <w:t> </w:t>
      </w:r>
    </w:p>
    <w:p w14:paraId="0B8E81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四、政府信息公开行政复议、行政诉讼情况</w:t>
      </w:r>
    </w:p>
    <w:p w14:paraId="673D83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14:paraId="112891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87DDD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79F502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14:paraId="4F7091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C2B7D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14:paraId="7336BF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14:paraId="7EB8C2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0BDA67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其他</w:t>
            </w:r>
          </w:p>
          <w:p w14:paraId="76AAB9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005721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尚未</w:t>
            </w:r>
          </w:p>
          <w:p w14:paraId="4349BA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6BBE7C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1FC560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4B4676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14:paraId="0557AA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2B9D9A61">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14:paraId="60D47B4D">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2A22D5F8">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4D919ECB">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2037E8A3">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07FE85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14:paraId="009A77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5F3544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14:paraId="5A317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0EB66B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其他</w:t>
            </w:r>
          </w:p>
          <w:p w14:paraId="0D70A0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4A100B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尚未</w:t>
            </w:r>
          </w:p>
          <w:p w14:paraId="520F5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76955C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19B4BA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14:paraId="257EC2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186E02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14:paraId="1F946F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5ECA2A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其他</w:t>
            </w:r>
          </w:p>
          <w:p w14:paraId="424B86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0C08AA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尚未</w:t>
            </w:r>
          </w:p>
          <w:p w14:paraId="0C1F2A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14:paraId="3E93B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14:paraId="3E15E7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B3051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5D946D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290A83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1CD00F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14:paraId="78AE66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6FB343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6D2674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74ECCB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2A3D6D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14:paraId="37946F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12E69B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73C086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36B595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14:paraId="018D33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14:paraId="51CDDE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14:paraId="6821B2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五、存在的主要问题及改进情况</w:t>
      </w:r>
    </w:p>
    <w:p w14:paraId="17AE5F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9"/>
        <w:jc w:val="both"/>
        <w:textAlignment w:val="auto"/>
        <w:rPr>
          <w:rFonts w:hint="eastAsia" w:ascii="宋体" w:hAnsi="宋体" w:eastAsia="宋体" w:cs="宋体"/>
          <w:i w:val="0"/>
          <w:iCs w:val="0"/>
          <w:caps w:val="0"/>
          <w:color w:val="2B2B2B"/>
          <w:spacing w:val="0"/>
          <w:sz w:val="21"/>
          <w:szCs w:val="21"/>
        </w:rPr>
      </w:pPr>
      <w:r>
        <w:rPr>
          <w:rFonts w:ascii="楷体_GB2312" w:hAnsi="宋体" w:eastAsia="楷体_GB2312" w:cs="楷体_GB2312"/>
          <w:b/>
          <w:bCs/>
          <w:i w:val="0"/>
          <w:iCs w:val="0"/>
          <w:caps w:val="0"/>
          <w:color w:val="000000"/>
          <w:spacing w:val="0"/>
          <w:kern w:val="0"/>
          <w:sz w:val="32"/>
          <w:szCs w:val="32"/>
          <w:shd w:val="clear" w:fill="FFFFFF"/>
          <w:lang w:val="en-US" w:eastAsia="zh-CN" w:bidi="ar"/>
        </w:rPr>
        <w:t>（一）存在问题</w:t>
      </w:r>
    </w:p>
    <w:p w14:paraId="3A339F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9"/>
        <w:jc w:val="both"/>
        <w:textAlignment w:val="auto"/>
        <w:rPr>
          <w:rFonts w:hint="eastAsia" w:ascii="宋体" w:hAnsi="宋体" w:eastAsia="宋体" w:cs="宋体"/>
          <w:i w:val="0"/>
          <w:iCs w:val="0"/>
          <w:caps w:val="0"/>
          <w:color w:val="2B2B2B"/>
          <w:spacing w:val="0"/>
          <w:sz w:val="32"/>
          <w:szCs w:val="32"/>
        </w:rPr>
      </w:pPr>
      <w:r>
        <w:rPr>
          <w:rFonts w:ascii="仿宋_GB2312" w:hAnsi="宋体" w:eastAsia="仿宋_GB2312" w:cs="仿宋_GB2312"/>
          <w:b/>
          <w:bCs/>
          <w:i w:val="0"/>
          <w:iCs w:val="0"/>
          <w:caps w:val="0"/>
          <w:color w:val="000000"/>
          <w:spacing w:val="0"/>
          <w:kern w:val="0"/>
          <w:sz w:val="32"/>
          <w:szCs w:val="32"/>
          <w:shd w:val="clear" w:fill="FFFFFF"/>
          <w:lang w:val="en-US" w:eastAsia="zh-CN" w:bidi="ar"/>
        </w:rPr>
        <w:t>一是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部分政策解读形式相对单一，多为文字解读，不够通俗易懂，缺乏创新形式。</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二是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政务信息公开的信息有时发布不够及时，有的应事前公开的内容变成了事后公开。</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三是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政务公开工作人员非专业出身，且参与系统性的培训不多，间接影响政务公开工作的质量以及时效。</w:t>
      </w:r>
    </w:p>
    <w:p w14:paraId="479DD0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9"/>
        <w:jc w:val="both"/>
        <w:textAlignment w:val="auto"/>
        <w:rPr>
          <w:rFonts w:hint="eastAsia" w:ascii="宋体" w:hAnsi="宋体" w:eastAsia="宋体" w:cs="宋体"/>
          <w:i w:val="0"/>
          <w:iCs w:val="0"/>
          <w:caps w:val="0"/>
          <w:color w:val="2B2B2B"/>
          <w:spacing w:val="0"/>
          <w:sz w:val="21"/>
          <w:szCs w:val="21"/>
        </w:rPr>
      </w:pPr>
      <w:r>
        <w:rPr>
          <w:rFonts w:hint="eastAsia" w:ascii="楷体_GB2312" w:hAnsi="宋体" w:eastAsia="楷体_GB2312" w:cs="楷体_GB2312"/>
          <w:b/>
          <w:bCs/>
          <w:i w:val="0"/>
          <w:iCs w:val="0"/>
          <w:caps w:val="0"/>
          <w:color w:val="000000"/>
          <w:spacing w:val="0"/>
          <w:kern w:val="0"/>
          <w:sz w:val="32"/>
          <w:szCs w:val="32"/>
          <w:shd w:val="clear" w:fill="FFFFFF"/>
          <w:lang w:val="en-US" w:eastAsia="zh-CN" w:bidi="ar"/>
        </w:rPr>
        <w:t>（二）整改措施</w:t>
      </w:r>
    </w:p>
    <w:p w14:paraId="3F0F32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宋体" w:hAnsi="宋体" w:eastAsia="宋体" w:cs="宋体"/>
          <w:i w:val="0"/>
          <w:iCs w:val="0"/>
          <w:caps w:val="0"/>
          <w:color w:val="2B2B2B"/>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针对存在的问题，下一步将重点抓好以下工作：</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一是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健全完善解读机制，规范解读程序，将政策解读与公文办理环节有机融合、协同推进。在落实上级政务公开要求的基础上，积极探索政务公开新途径、新方法，探索新媒体信息发布等方式强化政务公开工作，丰富政策解读形式，多采取图片、视频等新颖化、形象化解读形式，增加解读关注度，切实做到更新及时、内容全面。</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二是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加强向兄弟单位学习宝贵经验，取长补短，提高本单位工作人员对做好政务公开工作的认识，在开展政务公开工作的同时要注重隐私保护，平衡利益诉求，既要保障社会公众依法获取政府信息的权利，也要注重保护国家秘密、个人隐私。</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三是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强化学习培训。加强对全体干部的政府信息公开工作知晓率，常态化学习《中华人民共和国政府信息公开条例》等政务公开工作相关政策文件，促进广大干部进一步领会和贯彻落实，不断提高政府信息公开工作的质量和水平。</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四是</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推进重点领域信息公开。紧紧围绕我委中心工作，聚焦经济社会高质量发展需要和人民群众密切关注的问题，坚定不移以更大力度推进政务公开，进一步扩大公开范围，细化公开内容，最大限度发挥政务公开保障人民群众知情权、参与权、表达权和监督权，不断提高人民群众的获得感、幸福感。</w:t>
      </w:r>
    </w:p>
    <w:p w14:paraId="16226970">
      <w:pPr>
        <w:pStyle w:val="3"/>
        <w:numPr>
          <w:ilvl w:val="0"/>
          <w:numId w:val="0"/>
        </w:numPr>
        <w:rPr>
          <w:rFonts w:hint="eastAsia"/>
          <w:lang w:val="en-US" w:eastAsia="zh-CN"/>
        </w:rPr>
      </w:pPr>
    </w:p>
    <w:p w14:paraId="7A74B6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六、其他需要报告的事项</w:t>
      </w:r>
    </w:p>
    <w:p w14:paraId="05807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14:paraId="123D48CD">
      <w:pPr>
        <w:pStyle w:val="4"/>
        <w:rPr>
          <w:sz w:val="32"/>
          <w:szCs w:val="32"/>
        </w:rPr>
      </w:pPr>
    </w:p>
    <w:p w14:paraId="7FD898DF"/>
    <w:p w14:paraId="20048E97">
      <w:pPr>
        <w:ind w:firstLine="3840" w:firstLineChars="1200"/>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乌拉特前旗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卫生健康委员会</w:t>
      </w:r>
    </w:p>
    <w:p w14:paraId="6E8DDB20">
      <w:pPr>
        <w:pStyle w:val="4"/>
        <w:ind w:firstLine="4480" w:firstLineChars="1400"/>
        <w:rPr>
          <w:rFonts w:hint="default" w:eastAsia="仿宋"/>
          <w:sz w:val="32"/>
          <w:szCs w:val="32"/>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4E4"/>
    <w:multiLevelType w:val="singleLevel"/>
    <w:tmpl w:val="841A54E4"/>
    <w:lvl w:ilvl="0" w:tentative="0">
      <w:start w:val="1"/>
      <w:numFmt w:val="chineseCounting"/>
      <w:suff w:val="nothing"/>
      <w:lvlText w:val="（%1）"/>
      <w:lvlJc w:val="left"/>
      <w:rPr>
        <w:rFonts w:hint="eastAsia"/>
      </w:rPr>
    </w:lvl>
  </w:abstractNum>
  <w:abstractNum w:abstractNumId="1">
    <w:nsid w:val="92CABB50"/>
    <w:multiLevelType w:val="singleLevel"/>
    <w:tmpl w:val="92CABB5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34675D0"/>
    <w:rsid w:val="040F3E66"/>
    <w:rsid w:val="04842AA6"/>
    <w:rsid w:val="05095936"/>
    <w:rsid w:val="06C4362D"/>
    <w:rsid w:val="0768045D"/>
    <w:rsid w:val="0869448C"/>
    <w:rsid w:val="093E76C7"/>
    <w:rsid w:val="0AB435D3"/>
    <w:rsid w:val="0E3529A8"/>
    <w:rsid w:val="0E3814DF"/>
    <w:rsid w:val="0E625C06"/>
    <w:rsid w:val="0F0C3DC3"/>
    <w:rsid w:val="113F222E"/>
    <w:rsid w:val="117143B2"/>
    <w:rsid w:val="11D706B9"/>
    <w:rsid w:val="14681A9C"/>
    <w:rsid w:val="15A9236C"/>
    <w:rsid w:val="16493207"/>
    <w:rsid w:val="17DD454F"/>
    <w:rsid w:val="192D6E10"/>
    <w:rsid w:val="19597C05"/>
    <w:rsid w:val="197B401F"/>
    <w:rsid w:val="1A3903DE"/>
    <w:rsid w:val="1ACD08AB"/>
    <w:rsid w:val="25493224"/>
    <w:rsid w:val="268A3AF4"/>
    <w:rsid w:val="27455C6D"/>
    <w:rsid w:val="2A24600D"/>
    <w:rsid w:val="2ABE5B1A"/>
    <w:rsid w:val="2AF17B93"/>
    <w:rsid w:val="2CCF04B2"/>
    <w:rsid w:val="2CED26E7"/>
    <w:rsid w:val="2F6F7D2B"/>
    <w:rsid w:val="2FAD0853"/>
    <w:rsid w:val="30A12166"/>
    <w:rsid w:val="31E83DC4"/>
    <w:rsid w:val="32791381"/>
    <w:rsid w:val="34164C19"/>
    <w:rsid w:val="357A4D33"/>
    <w:rsid w:val="370F3C38"/>
    <w:rsid w:val="3B07350D"/>
    <w:rsid w:val="3CB11983"/>
    <w:rsid w:val="3D69571D"/>
    <w:rsid w:val="3E4D56DB"/>
    <w:rsid w:val="3E990920"/>
    <w:rsid w:val="439E7553"/>
    <w:rsid w:val="47F72214"/>
    <w:rsid w:val="481105CB"/>
    <w:rsid w:val="4ABF170F"/>
    <w:rsid w:val="4AD351BA"/>
    <w:rsid w:val="4AFD2237"/>
    <w:rsid w:val="4C3D6D8F"/>
    <w:rsid w:val="4D1D3CC9"/>
    <w:rsid w:val="516923D4"/>
    <w:rsid w:val="52911BE2"/>
    <w:rsid w:val="55B1434A"/>
    <w:rsid w:val="55D17AFB"/>
    <w:rsid w:val="56BE2A64"/>
    <w:rsid w:val="56F3629C"/>
    <w:rsid w:val="571132F2"/>
    <w:rsid w:val="599B6EA3"/>
    <w:rsid w:val="5A272E2C"/>
    <w:rsid w:val="5A89319F"/>
    <w:rsid w:val="5D3E2967"/>
    <w:rsid w:val="60EE1FAE"/>
    <w:rsid w:val="63B37E5A"/>
    <w:rsid w:val="63D062E3"/>
    <w:rsid w:val="65102E3B"/>
    <w:rsid w:val="65BF660F"/>
    <w:rsid w:val="661701F9"/>
    <w:rsid w:val="670C5884"/>
    <w:rsid w:val="67FA1B80"/>
    <w:rsid w:val="68F16ADF"/>
    <w:rsid w:val="6C027255"/>
    <w:rsid w:val="6EFA06B8"/>
    <w:rsid w:val="6FAF7B52"/>
    <w:rsid w:val="723839D1"/>
    <w:rsid w:val="756845CD"/>
    <w:rsid w:val="78570929"/>
    <w:rsid w:val="7A5275FA"/>
    <w:rsid w:val="7BE349AD"/>
    <w:rsid w:val="7C5C4760"/>
    <w:rsid w:val="7DF45DB4"/>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1"/>
    <w:basedOn w:val="1"/>
    <w:next w:val="1"/>
    <w:autoRedefine/>
    <w:qFormat/>
    <w:uiPriority w:val="0"/>
  </w:style>
  <w:style w:type="paragraph" w:styleId="4">
    <w:name w:val="toc 2"/>
    <w:basedOn w:val="1"/>
    <w:next w:val="1"/>
    <w:qFormat/>
    <w:uiPriority w:val="0"/>
    <w:pPr>
      <w:spacing w:line="306" w:lineRule="auto"/>
      <w:ind w:left="419"/>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1254</Words>
  <Characters>1325</Characters>
  <Lines>0</Lines>
  <Paragraphs>0</Paragraphs>
  <TotalTime>1</TotalTime>
  <ScaleCrop>false</ScaleCrop>
  <LinksUpToDate>false</LinksUpToDate>
  <CharactersWithSpaces>1328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夜轩</cp:lastModifiedBy>
  <dcterms:modified xsi:type="dcterms:W3CDTF">2025-12-26T07:20:41Z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0F77DF5C50B246298C18A1D16DBCBECD_13</vt:lpwstr>
  </property>
  <property fmtid="{D5CDD505-2E9C-101B-9397-08002B2CF9AE}" pid="4" name="KSOTemplateDocerSaveRecord">
    <vt:lpwstr>eyJoZGlkIjoiMDlmZDc5YzA5YzU5NWY4MzQzYzU4YmRlOGM4MTI4MDIiLCJ1c2VySWQiOiIzNzQ1ODQzOTMifQ==</vt:lpwstr>
  </property>
</Properties>
</file>