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EF34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乌拉特前旗住房和城乡建设局2023年政府信息公开工作年度报告</w:t>
      </w:r>
    </w:p>
    <w:p w14:paraId="1CCBF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本年度报告根据《中华人民共和国政府信息公开条例》（以下简称《条例》） 《国务院办公厅政府信息与政务公开办公室关于印发&lt;中华人民共和国政府信息公开工作年度报告格式&gt;的通知》（国办公开办函〔2021〕30号）要求制作。本报告由总体情况，主动公开政府信息情况，收到和处理政府信息公开申请情况，政府信息公开行政复议、行政诉讼情况，存在的主要问题及改进情况以及其他需要报告的事项等部分组成。本年度报告中所列数据的统计期限为2023年1月1日起至2023年12月31日止。本年度报告电子版可以从乌拉特前旗人民政府门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</w:t>
      </w:r>
      <w:r>
        <w:rPr>
          <w:rFonts w:hint="eastAsia" w:ascii="仿宋_GB2312" w:hAnsi="仿宋_GB2312" w:eastAsia="仿宋_GB2312" w:cs="仿宋_GB2312"/>
          <w:sz w:val="32"/>
          <w:szCs w:val="32"/>
        </w:rPr>
        <w:t>站（http://www.wltqq.gov.cn）下载，如对本年度报告有疑问，请与乌拉特前旗住房和城乡建设局联系（电话：0478-3268300）。</w:t>
      </w:r>
    </w:p>
    <w:p w14:paraId="5E9536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总体情况</w:t>
      </w:r>
    </w:p>
    <w:p w14:paraId="3B581BF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（一）主动公开情况</w:t>
      </w:r>
    </w:p>
    <w:p w14:paraId="5B39D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，旗住建局严格按照相关法律法规要求落实政府信息公开工作，职责清晰、流转顺畅，公开内容和时效符合上级部门的总体要求。全年主动公开条目60余条，包括工程建设全生命周期等工作进展、行政许可等重大行政决策、建设领域行政执法等内容，做到应公开尽公开。</w:t>
      </w:r>
    </w:p>
    <w:p w14:paraId="745D5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（二）依申请公开情况</w:t>
      </w:r>
    </w:p>
    <w:p w14:paraId="3A8C2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受理政府信息公开申请1件。受理有关政府信息公开方面的行政复议案件0件，行政诉讼案件0件。未发生公民、法人和其他组织认为行政机关不依法履行信息公开而提起举报。</w:t>
      </w:r>
    </w:p>
    <w:p w14:paraId="48C84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（三）政府信息管理情况</w:t>
      </w:r>
    </w:p>
    <w:p w14:paraId="08B26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合年度工作重点，及时、准确地公开政府信息。重点做好重要决策公开、重要部署执行情况公开、重要活动动态公开、重要意见征求反馈情况公开。通过“乌拉特前旗”门户网站对政府信息进行规范发布和动态调整。</w:t>
      </w:r>
    </w:p>
    <w:p w14:paraId="7CE77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（四）政府信息公开平台建设情况</w:t>
      </w:r>
    </w:p>
    <w:p w14:paraId="06549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结合住建行政工作实际，及时调整信息公开目录，完成乌拉特前旗住建局网站的内容维护工作。</w:t>
      </w:r>
    </w:p>
    <w:p w14:paraId="24A64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（五）监督保障情况</w:t>
      </w:r>
    </w:p>
    <w:p w14:paraId="5E7E7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加强对政务公开工作的监督保障，以项目化开展督查督办，确保住建领域政务公开内容全面、准确、及时。局党委对政务公开领域发生的作风效能问题进行执纪问责。</w:t>
      </w:r>
    </w:p>
    <w:p w14:paraId="55D39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W w:w="77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1944"/>
        <w:gridCol w:w="1944"/>
        <w:gridCol w:w="1956"/>
      </w:tblGrid>
      <w:tr w14:paraId="6A858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8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 w14:paraId="4B0EE6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36"/>
              <w:jc w:val="center"/>
            </w:pPr>
            <w:r>
              <w:rPr>
                <w:color w:val="333333"/>
                <w:sz w:val="15"/>
                <w:szCs w:val="15"/>
                <w:bdr w:val="none" w:color="auto" w:sz="0" w:space="0"/>
                <w:shd w:val="clear" w:fill="FFFFFF"/>
              </w:rPr>
              <w:t>第二十条第（一）项</w:t>
            </w:r>
          </w:p>
        </w:tc>
      </w:tr>
      <w:tr w14:paraId="29295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9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3B17F2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信息内容</w:t>
            </w:r>
          </w:p>
        </w:tc>
        <w:tc>
          <w:tcPr>
            <w:tcW w:w="1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502FBD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本年制发件数</w:t>
            </w:r>
          </w:p>
        </w:tc>
        <w:tc>
          <w:tcPr>
            <w:tcW w:w="1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7BDFD9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本年废止件数</w:t>
            </w:r>
          </w:p>
        </w:tc>
        <w:tc>
          <w:tcPr>
            <w:tcW w:w="1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31CE5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现行有效件数</w:t>
            </w:r>
          </w:p>
        </w:tc>
      </w:tr>
      <w:tr w14:paraId="17317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9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77CAEC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规章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C77A9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333D05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E3BE9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hAnsi="Calibri" w:cs="Calibri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</w:tr>
      <w:tr w14:paraId="5892A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9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34DC0D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行政规范性文件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428E3F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6CDF5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1A1470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</w:tr>
      <w:tr w14:paraId="6EC38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8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 w14:paraId="55DD7B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第二十条第（五）项</w:t>
            </w:r>
          </w:p>
        </w:tc>
      </w:tr>
      <w:tr w14:paraId="13F3D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9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4C4DCA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324D67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本年处理决定数量</w:t>
            </w:r>
          </w:p>
        </w:tc>
      </w:tr>
      <w:tr w14:paraId="5FA13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9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4304BC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行政许可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37A88F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41</w:t>
            </w:r>
          </w:p>
        </w:tc>
      </w:tr>
      <w:tr w14:paraId="34821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8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 w14:paraId="260D0D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第二十条第（六）项</w:t>
            </w:r>
          </w:p>
        </w:tc>
      </w:tr>
      <w:tr w14:paraId="6C0AC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9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4B07B4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6917B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本年处理决定数量</w:t>
            </w:r>
          </w:p>
        </w:tc>
      </w:tr>
      <w:tr w14:paraId="02DEA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9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0660C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行政处罚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44D969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9</w:t>
            </w:r>
          </w:p>
        </w:tc>
      </w:tr>
      <w:tr w14:paraId="2BD6F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9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68D5C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行政强制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45E282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0</w:t>
            </w:r>
          </w:p>
        </w:tc>
      </w:tr>
      <w:tr w14:paraId="5531B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8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48" w:type="dxa"/>
              <w:right w:w="48" w:type="dxa"/>
            </w:tcMar>
            <w:vAlign w:val="center"/>
          </w:tcPr>
          <w:p w14:paraId="102485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第二十条第（八）项</w:t>
            </w:r>
          </w:p>
        </w:tc>
      </w:tr>
      <w:tr w14:paraId="4708F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9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4432FD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信息内容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0B3D69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本年收费金额（单位：万元）</w:t>
            </w:r>
          </w:p>
        </w:tc>
      </w:tr>
      <w:tr w14:paraId="6621C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9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4DA1E7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行政事业性收费</w:t>
            </w:r>
          </w:p>
        </w:tc>
        <w:tc>
          <w:tcPr>
            <w:tcW w:w="584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9F5B7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0</w:t>
            </w:r>
          </w:p>
        </w:tc>
      </w:tr>
    </w:tbl>
    <w:p w14:paraId="3A41F4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/>
        <w:jc w:val="both"/>
        <w:rPr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　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三、收到和处理政府信息公开申请情况</w:t>
      </w:r>
    </w:p>
    <w:p w14:paraId="40542B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/>
        <w:jc w:val="both"/>
        <w:rPr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tbl>
      <w:tblPr>
        <w:tblW w:w="780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755"/>
        <w:gridCol w:w="2574"/>
        <w:gridCol w:w="551"/>
        <w:gridCol w:w="551"/>
        <w:gridCol w:w="551"/>
        <w:gridCol w:w="551"/>
        <w:gridCol w:w="552"/>
        <w:gridCol w:w="552"/>
        <w:gridCol w:w="552"/>
      </w:tblGrid>
      <w:tr w14:paraId="445633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4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0D97AE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ascii="楷体" w:hAnsi="楷体" w:eastAsia="楷体" w:cs="楷体"/>
                <w:color w:val="333333"/>
                <w:sz w:val="15"/>
                <w:szCs w:val="15"/>
                <w:bdr w:val="none" w:color="auto" w:sz="0" w:space="0"/>
              </w:rPr>
              <w:t>（本列数据的勾稽关系为：第一项加第二项之和，等于第三项加第四项之和）</w:t>
            </w:r>
          </w:p>
        </w:tc>
        <w:tc>
          <w:tcPr>
            <w:tcW w:w="385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526470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申请人情况</w:t>
            </w:r>
          </w:p>
        </w:tc>
      </w:tr>
      <w:tr w14:paraId="2776D8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4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5BA3E7E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22B5E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自然人</w:t>
            </w:r>
          </w:p>
        </w:tc>
        <w:tc>
          <w:tcPr>
            <w:tcW w:w="274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5AAB38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法人或其他组织</w:t>
            </w:r>
          </w:p>
        </w:tc>
        <w:tc>
          <w:tcPr>
            <w:tcW w:w="55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36649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总计</w:t>
            </w:r>
          </w:p>
        </w:tc>
      </w:tr>
      <w:tr w14:paraId="3204BE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4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16B4B0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7A736FC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009ED1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商业</w:t>
            </w:r>
          </w:p>
          <w:p w14:paraId="5F2491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企业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5E9930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科研</w:t>
            </w:r>
          </w:p>
          <w:p w14:paraId="0C4095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机构</w:t>
            </w:r>
          </w:p>
        </w:tc>
        <w:tc>
          <w:tcPr>
            <w:tcW w:w="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0FA568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社会公益组织</w:t>
            </w:r>
          </w:p>
        </w:tc>
        <w:tc>
          <w:tcPr>
            <w:tcW w:w="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549CE1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法律服务机构</w:t>
            </w:r>
          </w:p>
        </w:tc>
        <w:tc>
          <w:tcPr>
            <w:tcW w:w="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A98FB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其他</w:t>
            </w:r>
          </w:p>
        </w:tc>
        <w:tc>
          <w:tcPr>
            <w:tcW w:w="55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55D50DE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02A29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4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0FFB94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475528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A8469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0DA000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32D189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469851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793519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543141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1</w:t>
            </w:r>
          </w:p>
        </w:tc>
      </w:tr>
      <w:tr w14:paraId="48233B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4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7BAA1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A1234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577E09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50DBD8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33E73F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44271C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0169E1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56163D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</w:tr>
      <w:tr w14:paraId="1EB476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89FC1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三、本年度办理结果</w:t>
            </w: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5BFA88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（一）予以公开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7DE63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40DFED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304829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5A43FB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212F1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3484C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779BE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</w:tr>
      <w:tr w14:paraId="1E7483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3A7B90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AC5F8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333333"/>
                <w:sz w:val="15"/>
                <w:szCs w:val="15"/>
                <w:bdr w:val="none" w:color="auto" w:sz="0" w:space="0"/>
              </w:rPr>
              <w:t>（区分处理的，只计这一情形，不计其他情形）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C91BD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AFF07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0B04B5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C5141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72478D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167B51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4FD63D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</w:tr>
      <w:tr w14:paraId="644681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4DDF60A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86E43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（三）不予公开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7C71F9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1.属于国家秘密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3CB5D6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399A49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5397B6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177941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31824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10E5A0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562690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</w:tr>
      <w:tr w14:paraId="2E4044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572463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62AEE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4E07C6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2.其他法律行政法规禁止公开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7A092E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2D1BE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7A6558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134BBE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39721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01B060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70000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</w:tr>
      <w:tr w14:paraId="7B54F0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3BA97B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85E523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109627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3.危及“三安全一稳定”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1C0085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535807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725581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115AEA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678F3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7CEF3E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05FE8C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</w:tr>
      <w:tr w14:paraId="6C16A4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51A98F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69564A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AE795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4.保护第三方合法权益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480234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1B5D99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4DAC29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340B38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C4031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43FACE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43B537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</w:tr>
      <w:tr w14:paraId="0E9B35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3F59CB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4379BE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0AD1D2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5.属于三类内部事务信息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586C51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FCD5A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45C0A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33F06A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2BC7D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05CB02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39A74D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</w:tr>
      <w:tr w14:paraId="596921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1527AF7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175EA2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165168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6.属于四类过程性信息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5CB18E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446A68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CBA05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3397C7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46A7A5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5304A5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550FCB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</w:tr>
      <w:tr w14:paraId="1530BD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E3FF68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1D775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3AB262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7.属于行政执法案卷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56B485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ECBB3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1149F3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12EA4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306E9F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7D9AFC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396724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</w:tr>
      <w:tr w14:paraId="5C1E52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9B825C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D492B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F0B2C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8.属于行政查询事项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7F77B9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71513C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58C8D3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6D013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31F8D8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7071F6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5A57AD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</w:tr>
      <w:tr w14:paraId="2FD557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6FBAD1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3C13D1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（四）无法提供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CFDF4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1.本机关不掌握相关政府信息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49DFBF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194E37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29857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7A95A1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5D5BA0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3E35A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40D5C0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1</w:t>
            </w:r>
          </w:p>
        </w:tc>
      </w:tr>
      <w:tr w14:paraId="68B9D8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358FE50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40B66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7A3CD7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2.没有现成信息需要另行制作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3DBF4D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1481E3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F53D8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5D4436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40A98E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0B5228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09462A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</w:tr>
      <w:tr w14:paraId="0620B0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0AAF729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5A7DEBE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4CDD34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3.补正后申请内容仍不明确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167956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4CB546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143B4E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01E440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4C3633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5EC90F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04D01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</w:tr>
      <w:tr w14:paraId="026E99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DB266E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126EDA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（五）不予处理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529B37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1.信访举报投诉类申请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003375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55190A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2F1BC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7C92B4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693B0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53F27B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0D2D97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</w:tr>
      <w:tr w14:paraId="4C633B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7897B0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70576D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9CDBD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2.重复申请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52E779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A219E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B7313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305954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4EDDE6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48D0C7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535958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</w:tr>
      <w:tr w14:paraId="65C8F9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45A4BB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E1BF6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56465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3.要求提供公开出版物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FA55A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3E62FF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6A8D7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02EC98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7103E2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E9D58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22110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</w:tr>
      <w:tr w14:paraId="16F1D7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183E433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3BA785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4F4E51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4.无正当理由大量反复申请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174DE3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3BFC40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5A606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94869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04CF34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0A1FA0D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1D05D2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</w:tr>
      <w:tr w14:paraId="3294D7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9957F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29E585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3AACCC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5.要求行政机关确认或重新出具已获取信息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72AA02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1750B2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8B4D0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3513FD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10FFFE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330C2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63CA1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</w:tr>
      <w:tr w14:paraId="36DDC6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7813EC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00FDF2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（六）其他处理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707F58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1.申请人无正当理由逾期不补正、行政机关不再处理其政府信息公开申请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1A7BA7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78948A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584020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4FD369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DCB65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7349C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46FE0F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</w:tr>
      <w:tr w14:paraId="60EB6A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5ADC5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3C7B80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56276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2.申请人逾期未按收费通知要求缴纳费用、行政机关不再处理其政府信息公开申请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EDCFD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725C41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FE399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7BA60D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5C8EEC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06FFAD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32D58A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</w:tr>
      <w:tr w14:paraId="0DF290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3D888E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F9632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15F9A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3.其他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12696E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0EE8BC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405EBA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4A6937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97A10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1DF9C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0A1688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</w:tr>
      <w:tr w14:paraId="05D800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0EBB0F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391856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（七）总计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10BD8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1EB3E2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7A8A1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3BD80A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34B50B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4725B2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7B9B91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1</w:t>
            </w:r>
          </w:p>
        </w:tc>
      </w:tr>
      <w:tr w14:paraId="7B52D7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4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7F5E12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color w:val="333333"/>
                <w:sz w:val="15"/>
                <w:szCs w:val="15"/>
                <w:bdr w:val="none" w:color="auto" w:sz="0" w:space="0"/>
              </w:rPr>
              <w:t>四、结转下年度继续办理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8AD41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4E7956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06E151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27409F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419ECB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62A1A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cs="Times New Roman"/>
                <w:color w:val="333333"/>
                <w:sz w:val="16"/>
                <w:szCs w:val="16"/>
                <w:bdr w:val="none" w:color="auto" w:sz="0" w:space="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48" w:type="dxa"/>
              <w:right w:w="48" w:type="dxa"/>
            </w:tcMar>
            <w:vAlign w:val="center"/>
          </w:tcPr>
          <w:p w14:paraId="60F751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333333"/>
                <w:sz w:val="19"/>
                <w:szCs w:val="19"/>
                <w:bdr w:val="none" w:color="auto" w:sz="0" w:space="0"/>
              </w:rPr>
              <w:t>0</w:t>
            </w:r>
          </w:p>
        </w:tc>
      </w:tr>
    </w:tbl>
    <w:p w14:paraId="0CE227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　　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四、政府信息公开行政复议、行政诉讼情况</w:t>
      </w:r>
    </w:p>
    <w:p w14:paraId="5CB8EA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0" w:lineRule="atLeast"/>
        <w:ind w:left="0" w:right="0"/>
        <w:jc w:val="both"/>
        <w:rPr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none" w:color="auto" w:sz="0" w:space="0"/>
          <w:shd w:val="clear" w:fill="FFFFFF"/>
        </w:rPr>
        <w:t> </w:t>
      </w:r>
    </w:p>
    <w:tbl>
      <w:tblPr>
        <w:tblW w:w="780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516"/>
        <w:gridCol w:w="516"/>
        <w:gridCol w:w="516"/>
        <w:gridCol w:w="528"/>
        <w:gridCol w:w="516"/>
        <w:gridCol w:w="516"/>
        <w:gridCol w:w="516"/>
        <w:gridCol w:w="516"/>
        <w:gridCol w:w="540"/>
        <w:gridCol w:w="516"/>
        <w:gridCol w:w="516"/>
        <w:gridCol w:w="516"/>
        <w:gridCol w:w="516"/>
        <w:gridCol w:w="540"/>
      </w:tblGrid>
      <w:tr w14:paraId="70A248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6341D5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行政复议</w:t>
            </w:r>
          </w:p>
        </w:tc>
        <w:tc>
          <w:tcPr>
            <w:tcW w:w="520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4F1CA5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行政诉讼</w:t>
            </w:r>
          </w:p>
        </w:tc>
      </w:tr>
      <w:tr w14:paraId="79EE00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571A7A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结果维持</w:t>
            </w:r>
          </w:p>
        </w:tc>
        <w:tc>
          <w:tcPr>
            <w:tcW w:w="51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3A0BA3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结果</w:t>
            </w:r>
          </w:p>
          <w:p w14:paraId="1CC7F0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纠正</w:t>
            </w:r>
          </w:p>
        </w:tc>
        <w:tc>
          <w:tcPr>
            <w:tcW w:w="51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29CABA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其他</w:t>
            </w:r>
          </w:p>
          <w:p w14:paraId="4B48B0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结果</w:t>
            </w:r>
          </w:p>
        </w:tc>
        <w:tc>
          <w:tcPr>
            <w:tcW w:w="51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000D14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尚未</w:t>
            </w:r>
          </w:p>
          <w:p w14:paraId="2E01C9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审结</w:t>
            </w:r>
          </w:p>
        </w:tc>
        <w:tc>
          <w:tcPr>
            <w:tcW w:w="52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5115D3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总计</w:t>
            </w:r>
          </w:p>
        </w:tc>
        <w:tc>
          <w:tcPr>
            <w:tcW w:w="260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48D4D3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未经复议直接起诉</w:t>
            </w:r>
          </w:p>
        </w:tc>
        <w:tc>
          <w:tcPr>
            <w:tcW w:w="260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3EC297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复议后起诉</w:t>
            </w:r>
          </w:p>
        </w:tc>
      </w:tr>
      <w:tr w14:paraId="3EB007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0F6133F0">
            <w:pP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</w:pPr>
          </w:p>
        </w:tc>
        <w:tc>
          <w:tcPr>
            <w:tcW w:w="51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34A5218A">
            <w:pP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51992846">
            <w:pP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</w:pPr>
          </w:p>
        </w:tc>
        <w:tc>
          <w:tcPr>
            <w:tcW w:w="51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6DF38BE4">
            <w:pP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</w:pPr>
          </w:p>
        </w:tc>
        <w:tc>
          <w:tcPr>
            <w:tcW w:w="52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75D9EBE3">
            <w:pPr>
              <w:rPr>
                <w:rFonts w:hint="eastAsia" w:ascii="微软雅黑" w:hAnsi="微软雅黑" w:eastAsia="微软雅黑" w:cs="微软雅黑"/>
                <w:color w:val="000000"/>
                <w:sz w:val="15"/>
                <w:szCs w:val="15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3A86A3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结果</w:t>
            </w:r>
          </w:p>
          <w:p w14:paraId="416EAF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维持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3B8FFB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结果</w:t>
            </w:r>
          </w:p>
          <w:p w14:paraId="7C63F6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纠正</w:t>
            </w:r>
          </w:p>
        </w:tc>
        <w:tc>
          <w:tcPr>
            <w:tcW w:w="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3D7415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其他</w:t>
            </w:r>
          </w:p>
          <w:p w14:paraId="0DB215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结果</w:t>
            </w:r>
          </w:p>
        </w:tc>
        <w:tc>
          <w:tcPr>
            <w:tcW w:w="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365600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尚未</w:t>
            </w:r>
          </w:p>
          <w:p w14:paraId="251A9F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审结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278DBD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总计</w:t>
            </w:r>
          </w:p>
        </w:tc>
        <w:tc>
          <w:tcPr>
            <w:tcW w:w="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216C7E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结果</w:t>
            </w:r>
          </w:p>
          <w:p w14:paraId="30071E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维持</w:t>
            </w:r>
          </w:p>
        </w:tc>
        <w:tc>
          <w:tcPr>
            <w:tcW w:w="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67BEFB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结果</w:t>
            </w:r>
          </w:p>
          <w:p w14:paraId="664E6A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纠正</w:t>
            </w:r>
          </w:p>
        </w:tc>
        <w:tc>
          <w:tcPr>
            <w:tcW w:w="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654EE3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其他</w:t>
            </w:r>
          </w:p>
          <w:p w14:paraId="2E643D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结果</w:t>
            </w:r>
          </w:p>
        </w:tc>
        <w:tc>
          <w:tcPr>
            <w:tcW w:w="5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0BDC68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尚未</w:t>
            </w:r>
          </w:p>
          <w:p w14:paraId="4B229E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审结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37216E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总计</w:t>
            </w:r>
          </w:p>
        </w:tc>
      </w:tr>
      <w:tr w14:paraId="4A143F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56B895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48E2DE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08949D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69F142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680A38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0D7E0A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3E044F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0F278B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589A3C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46205A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6E1BEE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192F66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76F9A1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6C1364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 w14:paraId="3D9555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  <w:bdr w:val="none" w:color="auto" w:sz="0" w:space="0"/>
              </w:rPr>
              <w:t>0</w:t>
            </w:r>
          </w:p>
        </w:tc>
      </w:tr>
    </w:tbl>
    <w:p w14:paraId="30F2C4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五、存在的主要问题及改进情况</w:t>
      </w:r>
    </w:p>
    <w:p w14:paraId="20069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存在主要问题及改进情况：</w:t>
      </w: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  <w:lang w:val="en-US" w:eastAsia="zh-CN"/>
        </w:rPr>
        <w:t>一是，</w:t>
      </w:r>
      <w:r>
        <w:rPr>
          <w:rFonts w:hint="eastAsia" w:asci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  <w:lang w:val="en-US" w:eastAsia="zh-CN"/>
        </w:rPr>
        <w:t>政务信息公开的内容质量有待加强。政务信息公开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  <w:lang w:val="en-US" w:eastAsia="zh-CN"/>
        </w:rPr>
        <w:t>不够主动，更新不及时，信息质量也略显不足。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  <w:lang w:val="en-US" w:eastAsia="zh-CN"/>
        </w:rPr>
        <w:t>改进措施：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强化工作创新，优化公开质量。坚持以公开促服务、促落实、促规范，借鉴先进经验，注重在公开内容、公开形式、公开平台等方面积极探索。</w:t>
      </w:r>
    </w:p>
    <w:p w14:paraId="48B953D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right="0" w:firstLine="643" w:firstLineChars="200"/>
        <w:textAlignment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  <w:lang w:val="en-US" w:eastAsia="zh-CN"/>
        </w:rPr>
        <w:t>二是，</w:t>
      </w:r>
      <w:r>
        <w:rPr>
          <w:rFonts w:hint="eastAsia" w:asci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  <w:lang w:val="en-US" w:eastAsia="zh-CN"/>
        </w:rPr>
        <w:t>政务公开工作人员专业性有待加强。政务公开工作专业性较强，需要掌握一定的计算机操作技能和具备相应的文字处理、编辑功底。对政务公开工作人员存在组织培训缺乏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  <w:lang w:val="en-US" w:eastAsia="zh-CN"/>
        </w:rPr>
        <w:t>、讲解不深入的问题，影响了政务公开工作的开展。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  <w:lang w:val="en-US" w:eastAsia="zh-CN"/>
        </w:rPr>
        <w:t>改进措施：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加强业务培训。建立常态化培训机制，定期开展各类业务技能培训，提升人员队伍的综合素质，提高整体能力水平，进一步提高我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信息发布的数量、质量和时效。</w:t>
      </w:r>
    </w:p>
    <w:p w14:paraId="3D804ED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六、其他需要报告的事项</w:t>
      </w:r>
    </w:p>
    <w:p w14:paraId="69CB627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根据《政府信息公开信息处理费管理办法》规定，本年度未收取任何信息处理费。无其他报告事项。</w:t>
      </w:r>
    </w:p>
    <w:p w14:paraId="6397E05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6DA24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1D1EBA7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乌拉特前旗住房和城乡建设局</w:t>
      </w:r>
    </w:p>
    <w:p w14:paraId="017676E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　　2024年1月15日       </w:t>
      </w:r>
    </w:p>
    <w:p w14:paraId="708C4AF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字魂55号-龙吟手书">
    <w:panose1 w:val="000005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0057DA"/>
    <w:multiLevelType w:val="singleLevel"/>
    <w:tmpl w:val="490057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OThmOWRiNDE5YmZlNmI2YmM2ZGE2YzVjMTM4YmYifQ=="/>
  </w:docVars>
  <w:rsids>
    <w:rsidRoot w:val="2A3D6ACE"/>
    <w:rsid w:val="2A3D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2024-09-24T07:48:00Z</dcterms:created>
  <dc:creator>吉祥如意</dc:creator>
  <cp:lastModifiedBy>吉祥如意</cp:lastModifiedBy>
  <dcterms:modified xsi:type="dcterms:W3CDTF">2024-09-24T07:59:24Z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F54D61838BA644CD84D985C77C90F97B_11</vt:lpwstr>
  </property>
</Properties>
</file>