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59436">
      <w:pPr>
        <w:jc w:val="center"/>
        <w:rPr>
          <w:rFonts w:hint="eastAsia" w:ascii="仿宋" w:hAnsi="仿宋" w:eastAsia="仿宋" w:cs="仿宋"/>
          <w:b/>
          <w:bCs/>
          <w:sz w:val="44"/>
          <w:szCs w:val="44"/>
          <w:lang w:val="en-US" w:eastAsia="zh-CN"/>
        </w:rPr>
      </w:pPr>
      <w:bookmarkStart w:id="3" w:name="_GoBack"/>
      <w:r>
        <w:rPr>
          <w:rFonts w:hint="eastAsia" w:ascii="仿宋" w:hAnsi="仿宋" w:eastAsia="仿宋" w:cs="仿宋"/>
          <w:b/>
          <w:bCs/>
          <w:sz w:val="44"/>
          <w:szCs w:val="44"/>
          <w:lang w:val="en-US" w:eastAsia="zh-CN"/>
        </w:rPr>
        <w:t>中滩农场2026年度仓储库项目实施方案</w:t>
      </w:r>
    </w:p>
    <w:bookmarkEnd w:id="3"/>
    <w:p w14:paraId="7631E46A">
      <w:pPr>
        <w:jc w:val="center"/>
        <w:rPr>
          <w:rFonts w:hint="eastAsia" w:ascii="仿宋" w:hAnsi="仿宋" w:eastAsia="仿宋" w:cs="仿宋"/>
          <w:b/>
          <w:bCs/>
          <w:sz w:val="44"/>
          <w:szCs w:val="44"/>
          <w:lang w:val="en-US" w:eastAsia="zh-CN"/>
        </w:rPr>
      </w:pPr>
    </w:p>
    <w:p w14:paraId="748B01A0">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一、项目概况</w:t>
      </w:r>
    </w:p>
    <w:p w14:paraId="0726999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项目名称：</w:t>
      </w:r>
      <w:r>
        <w:rPr>
          <w:rFonts w:hint="eastAsia" w:ascii="仿宋_GB2312" w:hAnsi="仿宋_GB2312" w:eastAsia="仿宋_GB2312" w:cs="仿宋_GB2312"/>
          <w:spacing w:val="0"/>
          <w:sz w:val="32"/>
          <w:szCs w:val="32"/>
          <w:lang w:val="en-US" w:eastAsia="zh-CN"/>
        </w:rPr>
        <w:t>中滩农场仓储库项目</w:t>
      </w:r>
    </w:p>
    <w:p w14:paraId="1BD89F05">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（二）建设性质：</w:t>
      </w:r>
      <w:r>
        <w:rPr>
          <w:rFonts w:hint="eastAsia" w:ascii="仿宋_GB2312" w:hAnsi="仿宋_GB2312" w:eastAsia="仿宋_GB2312" w:cs="仿宋_GB2312"/>
          <w:sz w:val="32"/>
          <w:szCs w:val="32"/>
          <w:lang w:eastAsia="zh-CN"/>
        </w:rPr>
        <w:t>新建</w:t>
      </w:r>
    </w:p>
    <w:p w14:paraId="1F12498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（三）主管部门：</w:t>
      </w:r>
      <w:r>
        <w:rPr>
          <w:rFonts w:hint="eastAsia" w:ascii="仿宋" w:hAnsi="仿宋" w:eastAsia="仿宋" w:cs="仿宋"/>
          <w:b w:val="0"/>
          <w:bCs w:val="0"/>
          <w:sz w:val="32"/>
          <w:szCs w:val="32"/>
          <w:lang w:val="en-US" w:eastAsia="zh-CN"/>
        </w:rPr>
        <w:t>乌拉特前旗农牧和科技局</w:t>
      </w:r>
    </w:p>
    <w:p w14:paraId="6C4E823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（四）责任单位：</w:t>
      </w:r>
      <w:r>
        <w:rPr>
          <w:rFonts w:hint="eastAsia" w:ascii="仿宋" w:hAnsi="仿宋" w:eastAsia="仿宋" w:cs="仿宋"/>
          <w:color w:val="auto"/>
          <w:spacing w:val="0"/>
          <w:sz w:val="32"/>
          <w:szCs w:val="32"/>
          <w:lang w:val="en-US" w:eastAsia="zh-CN"/>
        </w:rPr>
        <w:t>巴彦淖尔农垦中滩农场有限公司</w:t>
      </w:r>
    </w:p>
    <w:p w14:paraId="6462802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eastAsia="zh-CN"/>
        </w:rPr>
        <w:t>（五）实施地点：</w:t>
      </w:r>
      <w:r>
        <w:rPr>
          <w:rFonts w:hint="eastAsia" w:ascii="仿宋" w:hAnsi="仿宋" w:eastAsia="仿宋" w:cs="仿宋"/>
          <w:color w:val="auto"/>
          <w:spacing w:val="0"/>
          <w:sz w:val="32"/>
          <w:szCs w:val="32"/>
          <w:lang w:val="en-US" w:eastAsia="zh-CN"/>
        </w:rPr>
        <w:t>巴彦淖尔农垦中滩农场有限公司</w:t>
      </w:r>
    </w:p>
    <w:p w14:paraId="3EA40D5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 w:hAnsi="仿宋" w:eastAsia="仿宋" w:cs="仿宋"/>
          <w:color w:val="auto"/>
          <w:spacing w:val="0"/>
          <w:sz w:val="32"/>
          <w:szCs w:val="32"/>
          <w:lang w:val="en-US" w:eastAsia="zh-CN"/>
        </w:rPr>
      </w:pPr>
      <w:r>
        <w:rPr>
          <w:rFonts w:hint="eastAsia" w:ascii="楷体" w:hAnsi="楷体" w:eastAsia="楷体" w:cs="楷体"/>
          <w:b/>
          <w:bCs/>
          <w:sz w:val="32"/>
          <w:szCs w:val="32"/>
          <w:lang w:eastAsia="zh-CN"/>
        </w:rPr>
        <w:t>（六）建设内容和规模</w:t>
      </w:r>
      <w:r>
        <w:rPr>
          <w:rFonts w:hint="eastAsia" w:ascii="仿宋_GB2312" w:hAnsi="仿宋_GB2312" w:eastAsia="仿宋_GB2312" w:cs="仿宋_GB2312"/>
          <w:sz w:val="32"/>
          <w:szCs w:val="32"/>
        </w:rPr>
        <w:t>：</w:t>
      </w:r>
      <w:r>
        <w:rPr>
          <w:rFonts w:hint="eastAsia" w:ascii="仿宋" w:hAnsi="仿宋" w:eastAsia="仿宋" w:cs="仿宋"/>
          <w:b w:val="0"/>
          <w:bCs w:val="0"/>
          <w:color w:val="auto"/>
          <w:spacing w:val="0"/>
          <w:sz w:val="32"/>
          <w:szCs w:val="32"/>
          <w:lang w:eastAsia="zh-CN"/>
        </w:rPr>
        <w:t>新建标准仓储库</w:t>
      </w:r>
      <w:r>
        <w:rPr>
          <w:rFonts w:hint="eastAsia" w:ascii="仿宋" w:hAnsi="仿宋" w:eastAsia="仿宋" w:cs="仿宋"/>
          <w:b w:val="0"/>
          <w:bCs w:val="0"/>
          <w:color w:val="auto"/>
          <w:spacing w:val="0"/>
          <w:sz w:val="32"/>
          <w:szCs w:val="32"/>
          <w:lang w:val="en-US" w:eastAsia="zh-CN"/>
        </w:rPr>
        <w:t>1087.2平米，及其他配套设施（二期资金45万元建设348.2平米</w:t>
      </w:r>
      <w:r>
        <w:rPr>
          <w:rFonts w:hint="eastAsia" w:ascii="仿宋" w:hAnsi="仿宋" w:eastAsia="仿宋" w:cs="仿宋"/>
          <w:b w:val="0"/>
          <w:bCs w:val="0"/>
          <w:color w:val="auto"/>
          <w:spacing w:val="0"/>
          <w:sz w:val="32"/>
          <w:szCs w:val="32"/>
          <w:lang w:eastAsia="zh-CN"/>
        </w:rPr>
        <w:t>标准仓储库</w:t>
      </w:r>
      <w:r>
        <w:rPr>
          <w:rFonts w:hint="eastAsia" w:ascii="仿宋" w:hAnsi="仿宋" w:eastAsia="仿宋" w:cs="仿宋"/>
          <w:b w:val="0"/>
          <w:bCs w:val="0"/>
          <w:color w:val="auto"/>
          <w:spacing w:val="0"/>
          <w:sz w:val="32"/>
          <w:szCs w:val="32"/>
          <w:lang w:val="en-US" w:eastAsia="zh-CN"/>
        </w:rPr>
        <w:t>）。</w:t>
      </w:r>
    </w:p>
    <w:p w14:paraId="7CBD514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（七）项目资金规模</w:t>
      </w:r>
      <w:r>
        <w:rPr>
          <w:rFonts w:hint="eastAsia" w:ascii="楷体" w:hAnsi="楷体" w:eastAsia="楷体" w:cs="楷体"/>
          <w:b/>
          <w:bCs/>
          <w:sz w:val="32"/>
          <w:szCs w:val="32"/>
          <w:lang w:val="en-US" w:eastAsia="zh-CN"/>
        </w:rPr>
        <w:t>及来源</w:t>
      </w:r>
      <w:r>
        <w:rPr>
          <w:rFonts w:hint="eastAsia" w:ascii="楷体" w:hAnsi="楷体" w:eastAsia="楷体" w:cs="楷体"/>
          <w:b/>
          <w:bCs/>
          <w:sz w:val="32"/>
          <w:szCs w:val="32"/>
          <w:lang w:eastAsia="zh-CN"/>
        </w:rPr>
        <w:t>：</w:t>
      </w:r>
      <w:r>
        <w:rPr>
          <w:rFonts w:hint="eastAsia" w:ascii="仿宋_GB2312" w:hAnsi="仿宋_GB2312" w:eastAsia="仿宋_GB2312" w:cs="仿宋_GB2312"/>
          <w:b w:val="0"/>
          <w:bCs w:val="0"/>
          <w:color w:val="auto"/>
          <w:spacing w:val="0"/>
          <w:kern w:val="2"/>
          <w:sz w:val="32"/>
          <w:szCs w:val="32"/>
          <w:lang w:val="en-US" w:eastAsia="zh-CN" w:bidi="ar-SA"/>
        </w:rPr>
        <w:t>共需要投入资金141万元，现拟申请自治区及以上衔接资金141万元（其中二期批复资金45万元）。</w:t>
      </w:r>
    </w:p>
    <w:p w14:paraId="12C145A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（八）</w:t>
      </w:r>
      <w:r>
        <w:rPr>
          <w:rFonts w:hint="eastAsia" w:ascii="楷体" w:hAnsi="楷体" w:eastAsia="楷体" w:cs="楷体"/>
          <w:b/>
          <w:bCs/>
          <w:sz w:val="32"/>
          <w:szCs w:val="32"/>
          <w:lang w:val="en-US" w:eastAsia="zh-CN"/>
        </w:rPr>
        <w:t>项目负责人及电话：</w:t>
      </w:r>
      <w:r>
        <w:rPr>
          <w:rFonts w:hint="eastAsia" w:ascii="仿宋_GB2312" w:hAnsi="仿宋_GB2312" w:eastAsia="仿宋_GB2312" w:cs="仿宋_GB2312"/>
          <w:sz w:val="32"/>
          <w:szCs w:val="32"/>
          <w:lang w:val="en-US" w:eastAsia="zh-CN"/>
        </w:rPr>
        <w:t>闫向东13234881814</w:t>
      </w:r>
    </w:p>
    <w:p w14:paraId="12200C4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（九）建设期：</w:t>
      </w:r>
      <w:r>
        <w:rPr>
          <w:rFonts w:hint="eastAsia" w:ascii="仿宋" w:hAnsi="仿宋" w:eastAsia="仿宋" w:cs="仿宋"/>
          <w:color w:val="auto"/>
          <w:spacing w:val="0"/>
          <w:sz w:val="32"/>
          <w:szCs w:val="32"/>
          <w:lang w:eastAsia="zh-CN"/>
        </w:rPr>
        <w:t>2026年</w:t>
      </w:r>
      <w:r>
        <w:rPr>
          <w:rFonts w:hint="eastAsia" w:ascii="仿宋" w:hAnsi="仿宋" w:eastAsia="仿宋" w:cs="仿宋"/>
          <w:color w:val="auto"/>
          <w:spacing w:val="0"/>
          <w:sz w:val="32"/>
          <w:szCs w:val="32"/>
          <w:lang w:val="en-US" w:eastAsia="zh-CN"/>
        </w:rPr>
        <w:t>1月1日-2026年12</w:t>
      </w:r>
      <w:r>
        <w:rPr>
          <w:rFonts w:hint="eastAsia" w:ascii="仿宋" w:hAnsi="仿宋" w:eastAsia="仿宋" w:cs="仿宋"/>
          <w:color w:val="auto"/>
          <w:spacing w:val="0"/>
          <w:sz w:val="32"/>
          <w:szCs w:val="32"/>
          <w:lang w:eastAsia="zh-CN"/>
        </w:rPr>
        <w:t>月</w:t>
      </w:r>
      <w:r>
        <w:rPr>
          <w:rFonts w:hint="eastAsia" w:ascii="仿宋" w:hAnsi="仿宋" w:eastAsia="仿宋" w:cs="仿宋"/>
          <w:color w:val="auto"/>
          <w:spacing w:val="0"/>
          <w:sz w:val="32"/>
          <w:szCs w:val="32"/>
          <w:lang w:val="en-US" w:eastAsia="zh-CN"/>
        </w:rPr>
        <w:t>31日</w:t>
      </w:r>
    </w:p>
    <w:p w14:paraId="5C1D088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楷体" w:hAnsi="楷体" w:eastAsia="楷体" w:cs="楷体"/>
          <w:b/>
          <w:bCs/>
          <w:kern w:val="2"/>
          <w:sz w:val="32"/>
          <w:szCs w:val="32"/>
          <w:highlight w:val="none"/>
          <w:lang w:val="en-US" w:eastAsia="zh-CN" w:bidi="ar-SA"/>
        </w:rPr>
        <w:t>（十）群众参与及受益对象：</w:t>
      </w:r>
      <w:r>
        <w:rPr>
          <w:rFonts w:hint="eastAsia" w:ascii="仿宋_GB2312" w:hAnsi="仿宋_GB2312" w:eastAsia="仿宋_GB2312" w:cs="仿宋_GB2312"/>
          <w:b w:val="0"/>
          <w:bCs w:val="0"/>
          <w:color w:val="auto"/>
          <w:spacing w:val="0"/>
          <w:kern w:val="2"/>
          <w:sz w:val="32"/>
          <w:szCs w:val="32"/>
          <w:lang w:val="en-US" w:eastAsia="zh-CN" w:bidi="ar-SA"/>
        </w:rPr>
        <w:t>该项目覆盖及带动周边受益人口892户2546人，其中：脱贫人口119户239人、监测户2户4人。</w:t>
      </w:r>
    </w:p>
    <w:p w14:paraId="274B2A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二、项目建设背景、可行性和必要性</w:t>
      </w:r>
    </w:p>
    <w:p w14:paraId="1130E072">
      <w:pPr>
        <w:keepNext w:val="0"/>
        <w:keepLines w:val="0"/>
        <w:widowControl/>
        <w:suppressLineNumbers w:val="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（一）项目建设背景：</w:t>
      </w:r>
    </w:p>
    <w:p w14:paraId="2FA08D43">
      <w:pPr>
        <w:keepNext w:val="0"/>
        <w:keepLines w:val="0"/>
        <w:widowControl/>
        <w:suppressLineNumbers w:val="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1、政策导向：国家战略与地方规划双重驱动​</w:t>
      </w:r>
    </w:p>
    <w:p w14:paraId="0C10A092">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粮食安全是关系国计民生的头等大事，国家层面始终将现代化仓储设施建设作为落实“藏粮于地、藏粮于技”战略的核心抓手。在地方层面，内蒙古巴彦淖尔市乌拉特前旗正全力推进高标准农田建设与现代农业转型升级，中滩农场作为区域农业核心载体，其仓储设施升级已被纳入地方乡村振兴与产业振兴重点规划，成为完善农业产业链、增强粮食安全韧性的关键举措。​</w:t>
      </w:r>
    </w:p>
    <w:p w14:paraId="545FBB5A">
      <w:pPr>
        <w:keepNext w:val="0"/>
        <w:keepLines w:val="0"/>
        <w:widowControl/>
        <w:suppressLineNumbers w:val="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2、产业基础：规模化种植与特色产业蓬勃发展​</w:t>
      </w:r>
    </w:p>
    <w:p w14:paraId="403A0E4F">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近年来，中滩农场通过高标准农田改造实现了农业生产的跨越式发展。农场已形成甜菜、青贮玉米等特色作物的规模化种植格局。通过引入水肥一体化、北斗导航耕作等现代农业技术，农场土地流转率大幅提高，农产品产量稳步增长，但随之而来的是规模化生产带来的仓储需求缺口，甜菜、青贮玉米等作物的产后储存、中转需求日益迫切，亟需专业化仓储设施支撑产业持续扩张。同时，作为区域农产品集散地，中滩农场的仓储服务已辐射周边种植户与加工企业，建设高标准仓储设施成为服务区域产业协同发展的必然选择。​</w:t>
      </w:r>
    </w:p>
    <w:p w14:paraId="7A81397C">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项目建设可行性：</w:t>
      </w:r>
    </w:p>
    <w:p w14:paraId="5DD2D8C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前，我国现代农业正加速向“产供销一体化”转型，高标仓储作为物流供应链的核心节点，其在提高物流效率、降低成本中的作用日益凸显。中滩农场地处河套平原东端，是区域农产品流通的关键节点，建设1087.2平米标准仓储设施，既能填补本地仓储能力缺口，又能依托其交通区位优势，构建“存储-分拣-中转”一体化服务体系，降低农产品流通成本与损耗率。同时，在全球粮食市场波动加剧、应急保障需求提升的背景下，项目建设可进一步增强区域粮食安全应急响应能力，确保在自然灾害、市场波动等突发情况下实现“拿得出、调得快、用得上”的保障目标，为稳定民生与市场供应提供坚实支撑。</w:t>
      </w:r>
    </w:p>
    <w:p w14:paraId="4C2574C1">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项目建设必要性：</w:t>
      </w:r>
    </w:p>
    <w:p w14:paraId="2EF084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主要帮扶脱贫人口收入标准以下的（家庭年收入人均低于8800元）农场重点监测对象，加强农场基础设施建设，助力乡村振兴。</w:t>
      </w:r>
    </w:p>
    <w:p w14:paraId="2DDE1557">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color w:val="FF0000"/>
          <w:sz w:val="32"/>
          <w:szCs w:val="32"/>
          <w:lang w:val="en-US" w:eastAsia="zh-CN"/>
        </w:rPr>
      </w:pPr>
      <w:r>
        <w:rPr>
          <w:rFonts w:hint="eastAsia" w:ascii="黑体" w:hAnsi="黑体" w:eastAsia="黑体" w:cs="黑体"/>
          <w:sz w:val="32"/>
          <w:szCs w:val="32"/>
          <w:lang w:val="en-US" w:eastAsia="zh-CN"/>
        </w:rPr>
        <w:t>　</w:t>
      </w:r>
      <w:r>
        <w:rPr>
          <w:rFonts w:hint="eastAsia" w:ascii="黑体" w:hAnsi="黑体" w:eastAsia="黑体" w:cs="黑体"/>
          <w:color w:val="FF0000"/>
          <w:sz w:val="32"/>
          <w:szCs w:val="32"/>
          <w:lang w:val="en-US" w:eastAsia="zh-CN"/>
        </w:rPr>
        <w:t>　</w:t>
      </w:r>
      <w:r>
        <w:rPr>
          <w:rFonts w:hint="eastAsia" w:ascii="黑体" w:hAnsi="黑体" w:eastAsia="黑体" w:cs="黑体"/>
          <w:color w:val="auto"/>
          <w:sz w:val="32"/>
          <w:szCs w:val="32"/>
          <w:lang w:val="en-US" w:eastAsia="zh-CN"/>
        </w:rPr>
        <w:t>三、项目成本估算</w:t>
      </w:r>
    </w:p>
    <w:p w14:paraId="7BF652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color w:val="FF0000"/>
          <w:sz w:val="32"/>
          <w:szCs w:val="32"/>
          <w:highlight w:val="yellow"/>
          <w:lang w:val="en-US" w:eastAsia="zh-CN"/>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建设规模为1087.2平米标准仓储库及其他配套设施，每平米1296.91元，总计投入141万元。</w:t>
      </w:r>
    </w:p>
    <w:p w14:paraId="5B76D2E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　　四、联农带农机制：</w:t>
      </w:r>
    </w:p>
    <w:p w14:paraId="301435E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outlineLvl w:val="9"/>
        <w:rPr>
          <w:rFonts w:hint="default" w:ascii="仿宋_GB2312" w:hAnsi="仿宋_GB2312" w:eastAsia="仿宋_GB2312" w:cs="仿宋_GB2312"/>
          <w:b w:val="0"/>
          <w:bCs w:val="0"/>
          <w:snapToGrid w:val="0"/>
          <w:color w:val="FF0000"/>
          <w:spacing w:val="0"/>
          <w:kern w:val="0"/>
          <w:sz w:val="32"/>
          <w:szCs w:val="32"/>
          <w:highlight w:val="yellow"/>
          <w:lang w:val="en-US" w:eastAsia="zh-CN" w:bidi="ar-SA"/>
        </w:rPr>
      </w:pPr>
      <w:r>
        <w:rPr>
          <w:rFonts w:hint="eastAsia" w:ascii="仿宋" w:hAnsi="仿宋" w:eastAsia="仿宋" w:cs="仿宋"/>
          <w:b w:val="0"/>
          <w:bCs w:val="0"/>
          <w:color w:val="auto"/>
          <w:spacing w:val="0"/>
          <w:sz w:val="32"/>
          <w:szCs w:val="32"/>
          <w:lang w:val="en-US" w:eastAsia="zh-CN"/>
        </w:rPr>
        <w:t>该项目联农带农机制还注重构建关系稳定、联结紧密、权责一致、利益共享、风险可控的联农带农机制，让农民分享产业链增值收益，为推进乡村全面振兴和实现共同富裕提供机制保障</w:t>
      </w:r>
      <w:r>
        <w:rPr>
          <w:rFonts w:hint="eastAsia" w:ascii="仿宋" w:hAnsi="仿宋" w:eastAsia="仿宋" w:cs="仿宋"/>
          <w:b/>
          <w:bCs/>
          <w:color w:val="0000FF"/>
          <w:spacing w:val="0"/>
          <w:sz w:val="32"/>
          <w:szCs w:val="32"/>
          <w:lang w:val="en-US" w:eastAsia="zh-CN"/>
        </w:rPr>
        <w:t>。</w:t>
      </w:r>
      <w:r>
        <w:rPr>
          <w:rFonts w:hint="eastAsia" w:ascii="仿宋" w:hAnsi="仿宋" w:eastAsia="仿宋" w:cs="仿宋"/>
          <w:b w:val="0"/>
          <w:bCs w:val="0"/>
          <w:color w:val="000000" w:themeColor="text1"/>
          <w:spacing w:val="0"/>
          <w:sz w:val="32"/>
          <w:szCs w:val="32"/>
          <w:lang w:val="en-US" w:eastAsia="zh-CN"/>
          <w14:textFill>
            <w14:solidFill>
              <w14:schemeClr w14:val="tx1"/>
            </w14:solidFill>
          </w14:textFill>
        </w:rPr>
        <w:t>整合周边农户与合作社资源，打造“中滩农场”区域公共品牌，统一包装、统一标准、统一营销。通过仓储物流优势降低流通成本，让农户共享品牌溢价收益，推动小农户融入现代农业产业体系。</w:t>
      </w:r>
    </w:p>
    <w:p w14:paraId="199B1B7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五、效益分析</w:t>
      </w:r>
    </w:p>
    <w:p w14:paraId="367E3D5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（一）经济效益：</w:t>
      </w:r>
      <w:r>
        <w:rPr>
          <w:rFonts w:hint="eastAsia" w:ascii="仿宋_GB2312" w:hAnsi="仿宋_GB2312" w:eastAsia="仿宋_GB2312" w:cs="仿宋_GB2312"/>
          <w:sz w:val="32"/>
          <w:szCs w:val="32"/>
          <w:lang w:val="en-US" w:eastAsia="zh-CN"/>
        </w:rPr>
        <w:t>项目运行期内总净利润为150万元，年均净利润15万元，</w:t>
      </w:r>
      <w:r>
        <w:rPr>
          <w:rFonts w:hint="default" w:ascii="仿宋_GB2312" w:hAnsi="仿宋_GB2312" w:eastAsia="仿宋_GB2312" w:cs="仿宋_GB2312"/>
          <w:sz w:val="32"/>
          <w:szCs w:val="32"/>
          <w:lang w:val="en-US" w:eastAsia="zh-CN"/>
        </w:rPr>
        <w:t>提高农民收入</w:t>
      </w:r>
      <w:r>
        <w:rPr>
          <w:rFonts w:hint="eastAsia" w:ascii="仿宋_GB2312" w:hAnsi="仿宋_GB2312" w:eastAsia="仿宋_GB2312" w:cs="仿宋_GB2312"/>
          <w:sz w:val="32"/>
          <w:szCs w:val="32"/>
          <w:lang w:val="en-US" w:eastAsia="zh-CN"/>
        </w:rPr>
        <w:t>，人均增收220元左右。</w:t>
      </w:r>
    </w:p>
    <w:p w14:paraId="346259E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（二）社会效益：</w:t>
      </w:r>
      <w:r>
        <w:rPr>
          <w:rFonts w:hint="eastAsia" w:ascii="仿宋_GB2312" w:hAnsi="仿宋_GB2312" w:eastAsia="仿宋_GB2312" w:cs="仿宋_GB2312"/>
          <w:sz w:val="32"/>
          <w:szCs w:val="32"/>
          <w:lang w:val="en-US" w:eastAsia="zh-CN"/>
        </w:rPr>
        <w:t>在继续支持用于脱贫户（含监测对象）等困难群众公益岗位、小型公益事业和奖励补助的同时，支持用于发展带动脱贫群众就业较多、持续增收的产业，支持用于农村牧区人居环境整治等乡村建设规划项目。</w:t>
      </w:r>
    </w:p>
    <w:p w14:paraId="5BBC36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lang w:val="en-US" w:eastAsia="zh-CN"/>
        </w:rPr>
      </w:pPr>
      <w:bookmarkStart w:id="0" w:name="_Toc24805"/>
      <w:bookmarkStart w:id="1" w:name="_Toc24198"/>
      <w:bookmarkStart w:id="2" w:name="_Toc24831"/>
      <w:r>
        <w:rPr>
          <w:rFonts w:hint="eastAsia" w:ascii="黑体" w:hAnsi="黑体" w:eastAsia="黑体" w:cs="黑体"/>
          <w:sz w:val="32"/>
          <w:szCs w:val="32"/>
          <w:highlight w:val="none"/>
          <w:lang w:val="en-US" w:eastAsia="zh-CN"/>
        </w:rPr>
        <w:t>六、组织保障措施</w:t>
      </w:r>
      <w:bookmarkEnd w:id="0"/>
      <w:bookmarkEnd w:id="1"/>
      <w:bookmarkEnd w:id="2"/>
    </w:p>
    <w:p w14:paraId="124697B0">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highlight w:val="none"/>
          <w:lang w:val="en-US" w:eastAsia="zh-CN"/>
        </w:rPr>
        <w:t>（一）中滩农场把仓储库项目</w:t>
      </w:r>
      <w:r>
        <w:rPr>
          <w:rFonts w:hint="eastAsia" w:ascii="楷体_GB2312" w:hAnsi="楷体_GB2312" w:eastAsia="楷体_GB2312" w:cs="楷体_GB2312"/>
          <w:b/>
          <w:bCs/>
          <w:sz w:val="32"/>
          <w:szCs w:val="32"/>
          <w:highlight w:val="none"/>
          <w:lang w:val="zh-CN"/>
        </w:rPr>
        <w:t>纳入重要工作。</w:t>
      </w:r>
      <w:r>
        <w:rPr>
          <w:rFonts w:hint="eastAsia" w:ascii="仿宋_GB2312" w:hAnsi="仿宋_GB2312" w:eastAsia="仿宋_GB2312" w:cs="仿宋_GB2312"/>
          <w:sz w:val="32"/>
          <w:szCs w:val="32"/>
          <w:highlight w:val="none"/>
          <w:lang w:val="zh-CN"/>
        </w:rPr>
        <w:t>议程统筹协调</w:t>
      </w:r>
      <w:r>
        <w:rPr>
          <w:rFonts w:hint="eastAsia" w:ascii="仿宋_GB2312" w:hAnsi="仿宋_GB2312" w:eastAsia="仿宋_GB2312" w:cs="仿宋_GB2312"/>
          <w:sz w:val="32"/>
          <w:szCs w:val="32"/>
          <w:highlight w:val="none"/>
          <w:lang w:val="en-US" w:eastAsia="zh-CN"/>
        </w:rPr>
        <w:t>经管科、财务科</w:t>
      </w:r>
      <w:r>
        <w:rPr>
          <w:rFonts w:hint="eastAsia" w:ascii="仿宋_GB2312" w:hAnsi="仿宋_GB2312" w:eastAsia="仿宋_GB2312" w:cs="仿宋_GB2312"/>
          <w:sz w:val="32"/>
          <w:szCs w:val="32"/>
          <w:highlight w:val="none"/>
          <w:lang w:val="zh-CN"/>
        </w:rPr>
        <w:t>和乡</w:t>
      </w:r>
      <w:r>
        <w:rPr>
          <w:rFonts w:hint="eastAsia" w:ascii="仿宋_GB2312" w:hAnsi="仿宋_GB2312" w:eastAsia="仿宋_GB2312" w:cs="仿宋_GB2312"/>
          <w:sz w:val="32"/>
          <w:szCs w:val="32"/>
          <w:highlight w:val="none"/>
          <w:lang w:val="en-US" w:eastAsia="zh-CN"/>
        </w:rPr>
        <w:t>村振兴办</w:t>
      </w:r>
      <w:r>
        <w:rPr>
          <w:rFonts w:hint="eastAsia" w:ascii="仿宋_GB2312" w:hAnsi="仿宋_GB2312" w:eastAsia="仿宋_GB2312" w:cs="仿宋_GB2312"/>
          <w:sz w:val="32"/>
          <w:szCs w:val="32"/>
          <w:highlight w:val="none"/>
          <w:lang w:val="zh-CN"/>
        </w:rPr>
        <w:t>等部门，具体负责实施方案的审定、项目的实施、核实和资金兑付、工作经费</w:t>
      </w:r>
      <w:r>
        <w:rPr>
          <w:rFonts w:hint="eastAsia" w:ascii="仿宋_GB2312" w:hAnsi="仿宋_GB2312" w:eastAsia="仿宋_GB2312" w:cs="仿宋_GB2312"/>
          <w:sz w:val="32"/>
          <w:szCs w:val="32"/>
          <w:lang w:val="zh-CN"/>
        </w:rPr>
        <w:t>的落实等工作。</w:t>
      </w:r>
    </w:p>
    <w:p w14:paraId="23FAB7D1">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lang w:val="zh-CN"/>
        </w:rPr>
        <w:t>（二）强化督促指导建立健全监督机制。</w:t>
      </w:r>
      <w:r>
        <w:rPr>
          <w:rFonts w:hint="eastAsia" w:ascii="仿宋_GB2312" w:hAnsi="仿宋_GB2312" w:eastAsia="仿宋_GB2312" w:cs="仿宋_GB2312"/>
          <w:sz w:val="32"/>
          <w:szCs w:val="32"/>
          <w:lang w:val="zh-CN"/>
        </w:rPr>
        <w:t>明确分工，强化责任，扎实做好巡回督导和业务指导工作。成立</w:t>
      </w:r>
      <w:r>
        <w:rPr>
          <w:rFonts w:hint="eastAsia" w:ascii="仿宋_GB2312" w:hAnsi="仿宋_GB2312" w:eastAsia="仿宋_GB2312" w:cs="仿宋_GB2312"/>
          <w:sz w:val="32"/>
          <w:szCs w:val="32"/>
          <w:lang w:val="en-US" w:eastAsia="zh-CN"/>
        </w:rPr>
        <w:t>农场</w:t>
      </w:r>
      <w:r>
        <w:rPr>
          <w:rFonts w:hint="eastAsia" w:ascii="仿宋_GB2312" w:hAnsi="仿宋_GB2312" w:eastAsia="仿宋_GB2312" w:cs="仿宋_GB2312"/>
          <w:sz w:val="32"/>
          <w:szCs w:val="32"/>
          <w:lang w:val="zh-CN"/>
        </w:rPr>
        <w:t>主管领导为成员的监督验收小组，负责监督、验收和考核工作。</w:t>
      </w:r>
    </w:p>
    <w:p w14:paraId="01A97E0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黑体" w:hAnsi="黑体" w:eastAsia="黑体" w:cs="黑体"/>
          <w:sz w:val="32"/>
          <w:szCs w:val="32"/>
          <w:lang w:val="en-US" w:eastAsia="zh-CN"/>
        </w:rPr>
      </w:pPr>
      <w:r>
        <w:rPr>
          <w:rFonts w:hint="eastAsia" w:ascii="楷体_GB2312" w:hAnsi="楷体_GB2312" w:eastAsia="楷体_GB2312" w:cs="楷体_GB2312"/>
          <w:b/>
          <w:bCs/>
          <w:sz w:val="32"/>
          <w:szCs w:val="32"/>
          <w:lang w:val="zh-CN"/>
        </w:rPr>
        <w:t>（三）强化资</w:t>
      </w:r>
      <w:r>
        <w:rPr>
          <w:rFonts w:hint="eastAsia" w:ascii="楷体_GB2312" w:hAnsi="楷体_GB2312" w:eastAsia="楷体_GB2312" w:cs="楷体_GB2312"/>
          <w:b/>
          <w:bCs/>
          <w:sz w:val="32"/>
          <w:szCs w:val="32"/>
          <w:lang w:val="en-US" w:eastAsia="zh-CN"/>
        </w:rPr>
        <w:t>金</w:t>
      </w:r>
      <w:r>
        <w:rPr>
          <w:rFonts w:hint="eastAsia" w:ascii="楷体_GB2312" w:hAnsi="楷体_GB2312" w:eastAsia="楷体_GB2312" w:cs="楷体_GB2312"/>
          <w:b/>
          <w:bCs/>
          <w:sz w:val="32"/>
          <w:szCs w:val="32"/>
          <w:lang w:val="zh-CN"/>
        </w:rPr>
        <w:t>监管，严格把握政策、规范操作。</w:t>
      </w:r>
      <w:r>
        <w:rPr>
          <w:rFonts w:hint="eastAsia" w:ascii="仿宋_GB2312" w:hAnsi="仿宋_GB2312" w:eastAsia="仿宋_GB2312" w:cs="仿宋_GB2312"/>
          <w:sz w:val="32"/>
          <w:szCs w:val="32"/>
          <w:lang w:val="zh-CN"/>
        </w:rPr>
        <w:t>完善操作办法，建立健全各项规章制度，加大监督检查力度，提高实施效果。</w:t>
      </w:r>
    </w:p>
    <w:p w14:paraId="668DC0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七、风险控制</w:t>
      </w:r>
    </w:p>
    <w:p w14:paraId="2A3BC4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对仓储库建设质量进行严格监控，确保符合规定的质量标准。</w:t>
      </w:r>
    </w:p>
    <w:p w14:paraId="608A94E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auto"/>
          <w:sz w:val="32"/>
          <w:szCs w:val="32"/>
          <w:highlight w:val="yellow"/>
        </w:rPr>
      </w:pPr>
      <w:r>
        <w:rPr>
          <w:rFonts w:hint="eastAsia" w:ascii="黑体" w:hAnsi="黑体" w:eastAsia="黑体" w:cs="黑体"/>
          <w:sz w:val="32"/>
          <w:szCs w:val="32"/>
          <w:lang w:val="en-US" w:eastAsia="zh-CN"/>
        </w:rPr>
        <w:t>八、项目后续管理</w:t>
      </w:r>
    </w:p>
    <w:p w14:paraId="3048FF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highlight w:val="none"/>
          <w:lang w:val="en-US" w:eastAsia="zh-CN" w:bidi="ar-SA"/>
        </w:rPr>
      </w:pPr>
      <w:r>
        <w:rPr>
          <w:rFonts w:hint="eastAsia" w:ascii="仿宋_GB2312" w:eastAsia="仿宋_GB2312" w:hAnsiTheme="minorHAnsi" w:cstheme="minorBidi"/>
          <w:kern w:val="2"/>
          <w:sz w:val="32"/>
          <w:szCs w:val="32"/>
          <w:highlight w:val="none"/>
          <w:lang w:val="en-US" w:eastAsia="zh-CN" w:bidi="ar-SA"/>
        </w:rPr>
        <w:t>衔接推进乡村振兴资金项目投入形成的资产按照《内蒙古自治区衔接推进乡村振兴资金资产管理指导意见》要求，项目要做好衔接推进乡村振兴资金资产登记和管理工作，项目资产归</w:t>
      </w:r>
      <w:r>
        <w:rPr>
          <w:rFonts w:hint="eastAsia" w:ascii="仿宋_GB2312" w:eastAsia="仿宋_GB2312" w:cstheme="minorBidi"/>
          <w:kern w:val="2"/>
          <w:sz w:val="32"/>
          <w:szCs w:val="32"/>
          <w:highlight w:val="none"/>
          <w:lang w:val="en-US" w:eastAsia="zh-CN" w:bidi="ar-SA"/>
        </w:rPr>
        <w:t>农场</w:t>
      </w:r>
      <w:r>
        <w:rPr>
          <w:rFonts w:hint="eastAsia" w:ascii="仿宋_GB2312" w:eastAsia="仿宋_GB2312" w:hAnsiTheme="minorHAnsi" w:cstheme="minorBidi"/>
          <w:kern w:val="2"/>
          <w:sz w:val="32"/>
          <w:szCs w:val="32"/>
          <w:highlight w:val="none"/>
          <w:lang w:val="en-US" w:eastAsia="zh-CN" w:bidi="ar-SA"/>
        </w:rPr>
        <w:t>所有，落实衔接推进乡村振兴资金资产管理责任，</w:t>
      </w:r>
      <w:r>
        <w:rPr>
          <w:rFonts w:hint="eastAsia" w:ascii="仿宋_GB2312" w:eastAsia="仿宋_GB2312" w:cstheme="minorBidi"/>
          <w:kern w:val="2"/>
          <w:sz w:val="32"/>
          <w:szCs w:val="32"/>
          <w:highlight w:val="none"/>
          <w:lang w:val="en-US" w:eastAsia="zh-CN" w:bidi="ar-SA"/>
        </w:rPr>
        <w:t>农场</w:t>
      </w:r>
      <w:r>
        <w:rPr>
          <w:rFonts w:hint="eastAsia" w:ascii="仿宋_GB2312" w:eastAsia="仿宋_GB2312" w:hAnsiTheme="minorHAnsi" w:cstheme="minorBidi"/>
          <w:kern w:val="2"/>
          <w:sz w:val="32"/>
          <w:szCs w:val="32"/>
          <w:highlight w:val="none"/>
          <w:lang w:val="en-US" w:eastAsia="zh-CN" w:bidi="ar-SA"/>
        </w:rPr>
        <w:t>应对</w:t>
      </w:r>
      <w:r>
        <w:rPr>
          <w:rFonts w:hint="eastAsia" w:ascii="仿宋_GB2312" w:eastAsia="仿宋_GB2312" w:cstheme="minorBidi"/>
          <w:kern w:val="2"/>
          <w:sz w:val="32"/>
          <w:szCs w:val="32"/>
          <w:highlight w:val="none"/>
          <w:lang w:val="en-US" w:eastAsia="zh-CN" w:bidi="ar-SA"/>
        </w:rPr>
        <w:t>项目</w:t>
      </w:r>
      <w:r>
        <w:rPr>
          <w:rFonts w:hint="eastAsia" w:ascii="仿宋_GB2312" w:eastAsia="仿宋_GB2312" w:hAnsiTheme="minorHAnsi" w:cstheme="minorBidi"/>
          <w:kern w:val="2"/>
          <w:sz w:val="32"/>
          <w:szCs w:val="32"/>
          <w:highlight w:val="none"/>
          <w:lang w:val="en-US" w:eastAsia="zh-CN" w:bidi="ar-SA"/>
        </w:rPr>
        <w:t>形成资产后续管护负责，保证衔接推进乡村振兴资金资产的完整性、安全性和长效性。</w:t>
      </w:r>
    </w:p>
    <w:p w14:paraId="6B0C64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highlight w:val="none"/>
          <w:lang w:val="en-US" w:eastAsia="zh-CN" w:bidi="ar-SA"/>
        </w:rPr>
      </w:pPr>
    </w:p>
    <w:p w14:paraId="4B9471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725E87"/>
    <w:multiLevelType w:val="singleLevel"/>
    <w:tmpl w:val="5C725E8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3D3E87"/>
    <w:rsid w:val="783D3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_GB2312"/>
      <w:color w:val="auto"/>
      <w:kern w:val="2"/>
      <w:sz w:val="32"/>
      <w:szCs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2026-08-07T09:00:00Z</dcterms:created>
  <dc:creator>李子</dc:creator>
  <cp:lastModifiedBy>李子</cp:lastModifiedBy>
  <dcterms:modified xsi:type="dcterms:W3CDTF">2026-08-07T09:01:09Z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F3CD482FEB264E83A7F093FD05ACE013_11</vt:lpwstr>
  </property>
  <property fmtid="{D5CDD505-2E9C-101B-9397-08002B2CF9AE}" pid="4" name="KSOTemplateDocerSaveRecord">
    <vt:lpwstr>eyJoZGlkIjoiOTQ0NzUzNWVmOTg1YjM4MmY3MzVlOTEzYzlmYTU5Y2MiLCJ1c2VySWQiOiIzMzA4Njg3OTQifQ==</vt:lpwstr>
  </property>
</Properties>
</file>