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23417">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bookmarkStart w:id="0" w:name="_GoBack"/>
      <w:bookmarkEnd w:id="0"/>
    </w:p>
    <w:p w14:paraId="51923974">
      <w:pPr>
        <w:keepNext w:val="0"/>
        <w:keepLines w:val="0"/>
        <w:pageBreakBefore w:val="0"/>
        <w:widowControl w:val="0"/>
        <w:kinsoku/>
        <w:wordWrap/>
        <w:overflowPunct/>
        <w:topLinePunct w:val="0"/>
        <w:autoSpaceDE/>
        <w:autoSpaceDN/>
        <w:bidi w:val="0"/>
        <w:adjustRightInd/>
        <w:snapToGrid/>
        <w:spacing w:line="71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乌拉特前</w:t>
      </w:r>
      <w:r>
        <w:rPr>
          <w:rFonts w:hint="eastAsia" w:ascii="方正小标宋简体" w:hAnsi="方正小标宋简体" w:eastAsia="方正小标宋简体" w:cs="方正小标宋简体"/>
          <w:sz w:val="44"/>
          <w:szCs w:val="44"/>
        </w:rPr>
        <w:t>旗</w:t>
      </w:r>
      <w:r>
        <w:rPr>
          <w:rFonts w:hint="eastAsia" w:ascii="方正小标宋简体" w:hAnsi="方正小标宋简体" w:eastAsia="方正小标宋简体" w:cs="方正小标宋简体"/>
          <w:sz w:val="44"/>
          <w:szCs w:val="44"/>
          <w:lang w:val="en-US" w:eastAsia="zh-CN"/>
        </w:rPr>
        <w:t>2026年养老</w:t>
      </w:r>
      <w:r>
        <w:rPr>
          <w:rFonts w:hint="eastAsia" w:ascii="方正小标宋简体" w:hAnsi="方正小标宋简体" w:eastAsia="方正小标宋简体" w:cs="方正小标宋简体"/>
          <w:sz w:val="44"/>
          <w:szCs w:val="44"/>
        </w:rPr>
        <w:t>保险</w:t>
      </w:r>
    </w:p>
    <w:p w14:paraId="63B59A6F">
      <w:pPr>
        <w:keepNext w:val="0"/>
        <w:keepLines w:val="0"/>
        <w:pageBreakBefore w:val="0"/>
        <w:widowControl w:val="0"/>
        <w:kinsoku/>
        <w:wordWrap/>
        <w:overflowPunct/>
        <w:topLinePunct w:val="0"/>
        <w:autoSpaceDE/>
        <w:autoSpaceDN/>
        <w:bidi w:val="0"/>
        <w:adjustRightInd/>
        <w:snapToGrid/>
        <w:spacing w:line="71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参保扩面工作实施方案</w:t>
      </w:r>
    </w:p>
    <w:p w14:paraId="21FFB40F">
      <w:pPr>
        <w:keepNext w:val="0"/>
        <w:keepLines w:val="0"/>
        <w:pageBreakBefore w:val="0"/>
        <w:widowControl w:val="0"/>
        <w:kinsoku/>
        <w:wordWrap/>
        <w:overflowPunct/>
        <w:topLinePunct w:val="0"/>
        <w:autoSpaceDE/>
        <w:autoSpaceDN/>
        <w:bidi w:val="0"/>
        <w:adjustRightInd/>
        <w:snapToGrid/>
        <w:spacing w:line="710" w:lineRule="exact"/>
        <w:ind w:firstLine="640" w:firstLineChars="200"/>
        <w:textAlignment w:val="auto"/>
        <w:rPr>
          <w:rFonts w:hint="eastAsia" w:ascii="仿宋" w:hAnsi="仿宋" w:eastAsia="仿宋" w:cs="仿宋"/>
          <w:sz w:val="32"/>
          <w:szCs w:val="32"/>
        </w:rPr>
      </w:pPr>
    </w:p>
    <w:p w14:paraId="3F0856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w:t>
      </w:r>
      <w:r>
        <w:rPr>
          <w:rFonts w:hint="eastAsia" w:ascii="仿宋_GB2312" w:hAnsi="仿宋_GB2312" w:eastAsia="仿宋_GB2312" w:cs="仿宋_GB2312"/>
          <w:sz w:val="32"/>
          <w:szCs w:val="32"/>
          <w:lang w:eastAsia="zh-CN"/>
        </w:rPr>
        <w:t>学习贯彻党的二十大和二十届历次全会精神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严格</w:t>
      </w:r>
      <w:r>
        <w:rPr>
          <w:rFonts w:hint="eastAsia" w:ascii="仿宋_GB2312" w:hAnsi="仿宋_GB2312" w:eastAsia="仿宋_GB2312" w:cs="仿宋_GB2312"/>
          <w:sz w:val="32"/>
          <w:szCs w:val="32"/>
        </w:rPr>
        <w:t>落实“健全覆盖全民、统筹城乡、公平统一、安全规范、可持续的多层次社会保障体系”重大决策部署，进一步扩大社会保险参保覆盖面，持续提升社会</w:t>
      </w:r>
      <w:r>
        <w:rPr>
          <w:rFonts w:hint="eastAsia" w:ascii="仿宋_GB2312" w:hAnsi="仿宋_GB2312" w:eastAsia="仿宋_GB2312" w:cs="仿宋_GB2312"/>
          <w:sz w:val="32"/>
          <w:szCs w:val="32"/>
          <w:lang w:eastAsia="zh-CN"/>
        </w:rPr>
        <w:t>保障</w:t>
      </w:r>
      <w:r>
        <w:rPr>
          <w:rFonts w:hint="eastAsia" w:ascii="仿宋_GB2312" w:hAnsi="仿宋_GB2312" w:eastAsia="仿宋_GB2312" w:cs="仿宋_GB2312"/>
          <w:sz w:val="32"/>
          <w:szCs w:val="32"/>
        </w:rPr>
        <w:t>水平，织密兜牢民生保障底线，结合我旗实际，制定本实施方案。</w:t>
      </w:r>
    </w:p>
    <w:p w14:paraId="1BD20F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一、总体要求</w:t>
      </w:r>
    </w:p>
    <w:p w14:paraId="70667C6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（一）指导思想</w:t>
      </w:r>
    </w:p>
    <w:p w14:paraId="0678A3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以习近平新时代中国特色社会主义思想为指导，坚持以人民为中心的发展思想，紧紧围绕“覆盖全民、应保尽保”的目标，聚焦新就业形态人员、城乡居民等重点群体，创新工作举措，强化部门协同，扎实推进社会保险参保扩面工作，不断增强人民群众的获得感、幸福感、安全感。</w:t>
      </w:r>
    </w:p>
    <w:p w14:paraId="4761380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（二）工作目标</w:t>
      </w:r>
    </w:p>
    <w:p w14:paraId="6F8249E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到2026年底，全旗基本养老保险参保率达到95%以上；新就业形态人员养老保险参保覆盖面明显扩大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月底前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实现新就业形态人员</w:t>
      </w:r>
      <w:r>
        <w:rPr>
          <w:rFonts w:hint="eastAsia" w:ascii="仿宋_GB2312" w:hAnsi="仿宋_GB2312" w:eastAsia="仿宋_GB2312" w:cs="仿宋_GB2312"/>
          <w:sz w:val="32"/>
          <w:szCs w:val="32"/>
          <w:lang w:val="en-US" w:eastAsia="zh-CN"/>
        </w:rPr>
        <w:t>新</w:t>
      </w:r>
      <w:r>
        <w:rPr>
          <w:rFonts w:hint="eastAsia" w:ascii="仿宋_GB2312" w:hAnsi="仿宋_GB2312" w:eastAsia="仿宋_GB2312" w:cs="仿宋_GB2312"/>
          <w:sz w:val="32"/>
          <w:szCs w:val="32"/>
        </w:rPr>
        <w:t>参保人数</w:t>
      </w:r>
      <w:r>
        <w:rPr>
          <w:rFonts w:hint="eastAsia" w:ascii="仿宋_GB2312" w:hAnsi="仿宋_GB2312" w:eastAsia="仿宋_GB2312" w:cs="仿宋_GB2312"/>
          <w:sz w:val="32"/>
          <w:szCs w:val="32"/>
          <w:lang w:val="en-US" w:eastAsia="zh-CN"/>
        </w:rPr>
        <w:t>达到600人</w:t>
      </w:r>
      <w:r>
        <w:rPr>
          <w:rFonts w:hint="eastAsia" w:ascii="仿宋_GB2312" w:hAnsi="仿宋_GB2312" w:eastAsia="仿宋_GB2312" w:cs="仿宋_GB2312"/>
          <w:sz w:val="32"/>
          <w:szCs w:val="32"/>
        </w:rPr>
        <w:t>以上；城乡居民养老保险参保人数稳步增长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全年新增参保3000人以上</w:t>
      </w:r>
      <w:r>
        <w:rPr>
          <w:rFonts w:hint="eastAsia" w:ascii="仿宋_GB2312" w:hAnsi="仿宋_GB2312" w:eastAsia="仿宋_GB2312" w:cs="仿宋_GB2312"/>
          <w:sz w:val="32"/>
          <w:szCs w:val="32"/>
        </w:rPr>
        <w:t>；城乡居民养老保险村集体经济补助工作取得实质性突破，</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全旗</w:t>
      </w:r>
      <w:r>
        <w:rPr>
          <w:rFonts w:hint="eastAsia" w:ascii="仿宋_GB2312" w:hAnsi="仿宋_GB2312" w:eastAsia="仿宋_GB2312" w:cs="仿宋_GB2312"/>
          <w:sz w:val="32"/>
          <w:szCs w:val="32"/>
          <w:lang w:val="en-US" w:eastAsia="zh-CN"/>
        </w:rPr>
        <w:t>11个苏木镇各开展两个</w:t>
      </w:r>
      <w:r>
        <w:rPr>
          <w:rFonts w:hint="eastAsia" w:ascii="仿宋_GB2312" w:hAnsi="仿宋_GB2312" w:eastAsia="仿宋_GB2312" w:cs="仿宋_GB2312"/>
          <w:sz w:val="32"/>
          <w:szCs w:val="32"/>
        </w:rPr>
        <w:t>村集体经济</w:t>
      </w:r>
      <w:r>
        <w:rPr>
          <w:rFonts w:hint="eastAsia" w:ascii="仿宋_GB2312" w:hAnsi="仿宋_GB2312" w:eastAsia="仿宋_GB2312" w:cs="仿宋_GB2312"/>
          <w:sz w:val="32"/>
          <w:szCs w:val="32"/>
          <w:lang w:val="en-US" w:eastAsia="zh-CN"/>
        </w:rPr>
        <w:t>补助试点工作任务</w:t>
      </w:r>
      <w:r>
        <w:rPr>
          <w:rFonts w:hint="eastAsia" w:ascii="仿宋_GB2312" w:hAnsi="仿宋_GB2312" w:eastAsia="仿宋_GB2312" w:cs="仿宋_GB2312"/>
          <w:sz w:val="32"/>
          <w:szCs w:val="32"/>
        </w:rPr>
        <w:t>。</w:t>
      </w:r>
    </w:p>
    <w:p w14:paraId="5259FA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二、重点工作任务</w:t>
      </w:r>
    </w:p>
    <w:p w14:paraId="56EED00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（一）推进新就业形态人员参加养老保险</w:t>
      </w:r>
    </w:p>
    <w:p w14:paraId="74F690F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rPr>
        <w:t>全面摸清新就业形态人员底数</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pacing w:val="-6"/>
          <w:sz w:val="32"/>
          <w:szCs w:val="32"/>
          <w:lang w:val="en-US" w:eastAsia="zh-CN"/>
        </w:rPr>
        <w:t>在</w:t>
      </w:r>
      <w:r>
        <w:rPr>
          <w:rFonts w:hint="eastAsia" w:ascii="仿宋_GB2312" w:hAnsi="仿宋_GB2312" w:eastAsia="仿宋_GB2312" w:cs="仿宋_GB2312"/>
          <w:spacing w:val="-6"/>
          <w:sz w:val="32"/>
          <w:szCs w:val="32"/>
        </w:rPr>
        <w:t>2026年</w:t>
      </w:r>
      <w:r>
        <w:rPr>
          <w:rFonts w:hint="eastAsia" w:ascii="仿宋_GB2312" w:hAnsi="仿宋_GB2312" w:eastAsia="仿宋_GB2312" w:cs="仿宋_GB2312"/>
          <w:spacing w:val="-6"/>
          <w:sz w:val="32"/>
          <w:szCs w:val="32"/>
          <w:lang w:val="en-US" w:eastAsia="zh-CN"/>
        </w:rPr>
        <w:t>9</w:t>
      </w:r>
      <w:r>
        <w:rPr>
          <w:rFonts w:hint="eastAsia" w:ascii="仿宋_GB2312" w:hAnsi="仿宋_GB2312" w:eastAsia="仿宋_GB2312" w:cs="仿宋_GB2312"/>
          <w:spacing w:val="-6"/>
          <w:sz w:val="32"/>
          <w:szCs w:val="32"/>
        </w:rPr>
        <w:t>月底前</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开展全旗新就业形态从业人员摸底调查，建立信息台账。重点对快递、外卖、网约车、电商直播等行业的从业人员进行全面排查登记，准确掌握人员数量、就业形式、收入状况和参保现状。</w:t>
      </w:r>
    </w:p>
    <w:p w14:paraId="6C5D128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bCs/>
          <w:sz w:val="32"/>
          <w:szCs w:val="32"/>
        </w:rPr>
        <w:t>分类施策推动参保</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建立劳动关系的新就业形态人员：督促平台企业依法为符合条件的从业人员参加企业职工基本养老保险，做到“应参尽参、应保尽保”。未建立劳动关系的灵活就业人员：引导其以灵活就业人员身份参加企业职工基本养老保险或城乡居民基本养老保险，可按规定自主选择缴费档次。</w:t>
      </w:r>
    </w:p>
    <w:p w14:paraId="48455DB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b/>
          <w:bCs/>
          <w:sz w:val="32"/>
          <w:szCs w:val="32"/>
        </w:rPr>
        <w:t>加强政策宣传引导</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采取线上线下相结合的方式，深入平台企业、物流园区、快递站点等开展“面对面”政策宣讲。</w:t>
      </w:r>
      <w:r>
        <w:rPr>
          <w:rFonts w:hint="eastAsia" w:ascii="仿宋_GB2312" w:hAnsi="仿宋_GB2312" w:eastAsia="仿宋_GB2312" w:cs="仿宋_GB2312"/>
          <w:sz w:val="32"/>
          <w:szCs w:val="32"/>
          <w:lang w:eastAsia="zh-CN"/>
        </w:rPr>
        <w:t>线上，</w:t>
      </w:r>
      <w:r>
        <w:rPr>
          <w:rFonts w:hint="eastAsia" w:ascii="仿宋_GB2312" w:hAnsi="仿宋_GB2312" w:eastAsia="仿宋_GB2312" w:cs="仿宋_GB2312"/>
          <w:sz w:val="32"/>
          <w:szCs w:val="32"/>
        </w:rPr>
        <w:t>充分利用微信公众号、短视频平台、手机APP等新媒体渠道，制作通俗易懂的政策解读内容。</w:t>
      </w:r>
      <w:r>
        <w:rPr>
          <w:rFonts w:hint="eastAsia" w:ascii="仿宋_GB2312" w:hAnsi="仿宋_GB2312" w:eastAsia="仿宋_GB2312" w:cs="仿宋_GB2312"/>
          <w:sz w:val="32"/>
          <w:szCs w:val="32"/>
          <w:lang w:eastAsia="zh-CN"/>
        </w:rPr>
        <w:t>线下，</w:t>
      </w:r>
      <w:r>
        <w:rPr>
          <w:rFonts w:hint="eastAsia" w:ascii="仿宋_GB2312" w:hAnsi="仿宋_GB2312" w:eastAsia="仿宋_GB2312" w:cs="仿宋_GB2312"/>
          <w:sz w:val="32"/>
          <w:szCs w:val="32"/>
        </w:rPr>
        <w:t>在快递站点、外卖配送站、网约车服务平台等</w:t>
      </w:r>
      <w:r>
        <w:rPr>
          <w:rFonts w:hint="eastAsia" w:ascii="仿宋_GB2312" w:hAnsi="仿宋_GB2312" w:eastAsia="仿宋_GB2312" w:cs="仿宋_GB2312"/>
          <w:sz w:val="32"/>
          <w:szCs w:val="32"/>
          <w:lang w:val="en-US" w:eastAsia="zh-CN"/>
        </w:rPr>
        <w:t>场所发</w:t>
      </w:r>
      <w:r>
        <w:rPr>
          <w:rFonts w:hint="eastAsia" w:ascii="仿宋_GB2312" w:hAnsi="仿宋_GB2312" w:eastAsia="仿宋_GB2312" w:cs="仿宋_GB2312"/>
          <w:sz w:val="32"/>
          <w:szCs w:val="32"/>
        </w:rPr>
        <w:t>放宣传资料。</w:t>
      </w:r>
    </w:p>
    <w:p w14:paraId="5C0A88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b/>
          <w:bCs/>
          <w:sz w:val="32"/>
          <w:szCs w:val="32"/>
        </w:rPr>
        <w:t>优化参保经办服务</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在旗</w:t>
      </w:r>
      <w:r>
        <w:rPr>
          <w:rFonts w:hint="eastAsia" w:ascii="仿宋_GB2312" w:hAnsi="仿宋_GB2312" w:eastAsia="仿宋_GB2312" w:cs="仿宋_GB2312"/>
          <w:sz w:val="32"/>
          <w:szCs w:val="32"/>
          <w:lang w:val="en-US" w:eastAsia="zh-CN"/>
        </w:rPr>
        <w:t>政务大厅</w:t>
      </w:r>
      <w:r>
        <w:rPr>
          <w:rFonts w:hint="eastAsia" w:ascii="仿宋_GB2312" w:hAnsi="仿宋_GB2312" w:eastAsia="仿宋_GB2312" w:cs="仿宋_GB2312"/>
          <w:sz w:val="32"/>
          <w:szCs w:val="32"/>
        </w:rPr>
        <w:t>设立新就业形态人员参保服务专窗，提供政策咨询、参保登记、缴费指导等“一站式”服务。针对外卖骑手、快递员等时间不固定的特点，推行预约服务、延时服务和上门服务。</w:t>
      </w:r>
    </w:p>
    <w:p w14:paraId="4E03D4A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五是</w:t>
      </w:r>
      <w:r>
        <w:rPr>
          <w:rFonts w:hint="eastAsia" w:ascii="仿宋_GB2312" w:hAnsi="仿宋_GB2312" w:eastAsia="仿宋_GB2312" w:cs="仿宋_GB2312"/>
          <w:b/>
          <w:bCs/>
          <w:sz w:val="32"/>
          <w:szCs w:val="32"/>
        </w:rPr>
        <w:t>强化劳动保障监察和执法检查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将平台企业为从业人员参加社会保险情况纳入劳动保障监察重点内容，定期开展专项执法检查行动。对未按规定为建立劳动关系的从业人员参加养老保险的平台企业，依法下达《限期整改指令书》，逾期不改正的依法予以行政处罚。建立平台企业参保情况通报制度，对参保率低、整改不力的企业进行约谈，并纳入企业劳动保障守法诚信等级评价。</w:t>
      </w:r>
    </w:p>
    <w:p w14:paraId="02BFCF9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楷体_GB2312" w:hAnsi="楷体_GB2312" w:eastAsia="楷体_GB2312" w:cs="楷体_GB2312"/>
          <w:b/>
          <w:bCs/>
          <w:sz w:val="32"/>
          <w:szCs w:val="32"/>
        </w:rPr>
        <w:t>（二）推进城乡居民参加养老保险</w:t>
      </w:r>
    </w:p>
    <w:p w14:paraId="55DF912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rPr>
        <w:t>以旗社保服务中心数据为基础，与常住人口数据进行比对，精准识别未参保人员和中断缴费人员。</w:t>
      </w:r>
    </w:p>
    <w:p w14:paraId="010235A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rPr>
        <w:t>将未参保人员信息按户籍分解到各苏木镇</w:t>
      </w:r>
      <w:r>
        <w:rPr>
          <w:rFonts w:hint="eastAsia" w:ascii="仿宋_GB2312" w:hAnsi="仿宋_GB2312" w:eastAsia="仿宋_GB2312" w:cs="仿宋_GB2312"/>
          <w:sz w:val="32"/>
          <w:szCs w:val="32"/>
          <w:lang w:eastAsia="zh-CN"/>
        </w:rPr>
        <w:t>、农牧场</w:t>
      </w:r>
      <w:r>
        <w:rPr>
          <w:rFonts w:hint="eastAsia" w:ascii="仿宋_GB2312" w:hAnsi="仿宋_GB2312" w:eastAsia="仿宋_GB2312" w:cs="仿宋_GB2312"/>
          <w:sz w:val="32"/>
          <w:szCs w:val="32"/>
        </w:rPr>
        <w:t>，建立旗、苏木镇、嘎查村（社区）三级联动摸排机制，逐户逐人核实参保状态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实现精准扩面</w:t>
      </w:r>
      <w:r>
        <w:rPr>
          <w:rFonts w:hint="eastAsia" w:ascii="仿宋_GB2312" w:hAnsi="仿宋_GB2312" w:eastAsia="仿宋_GB2312" w:cs="仿宋_GB2312"/>
          <w:sz w:val="32"/>
          <w:szCs w:val="32"/>
        </w:rPr>
        <w:t>。</w:t>
      </w:r>
    </w:p>
    <w:p w14:paraId="47A87B8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按照自治区和全市工作安排和要求，各苏木镇、农牧场要在2026年启动城乡居民养老保险“同审统办”业务经办工作，实现本地受理、异地审核的全市统一的业务经办模式，进一步规范和优化经办流程，打通服务群众“最后一公里”。</w:t>
      </w:r>
    </w:p>
    <w:p w14:paraId="197CF46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（三）落实城乡居民养老保险村集体经济补助工作</w:t>
      </w:r>
    </w:p>
    <w:p w14:paraId="06DCCD3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rPr>
        <w:t>建立村集体经济补助机制</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按照自治区扩大城乡居民养老保险试点工作要求，社保经办机构与各</w:t>
      </w:r>
      <w:r>
        <w:rPr>
          <w:rFonts w:hint="eastAsia" w:ascii="仿宋_GB2312" w:hAnsi="仿宋_GB2312" w:eastAsia="仿宋_GB2312" w:cs="仿宋_GB2312"/>
          <w:sz w:val="32"/>
          <w:szCs w:val="32"/>
        </w:rPr>
        <w:t>苏木镇</w:t>
      </w:r>
      <w:r>
        <w:rPr>
          <w:rFonts w:hint="eastAsia" w:ascii="仿宋_GB2312" w:hAnsi="仿宋_GB2312" w:eastAsia="仿宋_GB2312" w:cs="仿宋_GB2312"/>
          <w:sz w:val="32"/>
          <w:szCs w:val="32"/>
          <w:lang w:val="en-US" w:eastAsia="zh-CN"/>
        </w:rPr>
        <w:t>沟通</w:t>
      </w:r>
      <w:r>
        <w:rPr>
          <w:rFonts w:hint="eastAsia" w:ascii="仿宋_GB2312" w:hAnsi="仿宋_GB2312" w:eastAsia="仿宋_GB2312" w:cs="仿宋_GB2312"/>
          <w:sz w:val="32"/>
          <w:szCs w:val="32"/>
        </w:rPr>
        <w:t>指导所辖嘎查村根据集体经济收入情况，制定本村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嘎查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城乡居民养老保险集体经济组织补助的具体实施方案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明确补助对象、补助标准、资金来源等具体</w:t>
      </w:r>
      <w:r>
        <w:rPr>
          <w:rFonts w:hint="eastAsia" w:ascii="仿宋_GB2312" w:hAnsi="仿宋_GB2312" w:eastAsia="仿宋_GB2312" w:cs="仿宋_GB2312"/>
          <w:sz w:val="32"/>
          <w:szCs w:val="32"/>
          <w:lang w:val="en-US" w:eastAsia="zh-CN"/>
        </w:rPr>
        <w:t>事项</w:t>
      </w:r>
      <w:r>
        <w:rPr>
          <w:rFonts w:hint="eastAsia" w:ascii="仿宋_GB2312" w:hAnsi="仿宋_GB2312" w:eastAsia="仿宋_GB2312" w:cs="仿宋_GB2312"/>
          <w:sz w:val="32"/>
          <w:szCs w:val="32"/>
        </w:rPr>
        <w:t>。集体经济补助资金重点用于补助本集体经济组织成员中已参加城乡居民养老保险且正常缴费的人员，特别是对低保对象、特困人员、残疾人等困难群体给予重点倾斜。补助标准原则上不低于每人每年</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元，有条件的村可适当提高补助标准。对低保对象、特困人员、重度残疾人、符合条件的计划生育特殊家庭等困难群体采取托底补助，补助金额不低于100元/年/人。</w:t>
      </w:r>
    </w:p>
    <w:p w14:paraId="7074F27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bCs/>
          <w:sz w:val="32"/>
          <w:szCs w:val="32"/>
        </w:rPr>
        <w:t>规范补助工作流程</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建立和</w:t>
      </w:r>
      <w:r>
        <w:rPr>
          <w:rFonts w:hint="eastAsia" w:ascii="仿宋_GB2312" w:hAnsi="仿宋_GB2312" w:eastAsia="仿宋_GB2312" w:cs="仿宋_GB2312"/>
          <w:sz w:val="32"/>
          <w:szCs w:val="32"/>
        </w:rPr>
        <w:t>规范“村申报、</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审核、旗备案”的工作流程</w:t>
      </w:r>
      <w:r>
        <w:rPr>
          <w:rFonts w:hint="eastAsia" w:ascii="仿宋_GB2312" w:hAnsi="仿宋_GB2312" w:eastAsia="仿宋_GB2312" w:cs="仿宋_GB2312"/>
          <w:sz w:val="32"/>
          <w:szCs w:val="32"/>
          <w:lang w:eastAsia="zh-CN"/>
        </w:rPr>
        <w:t>。</w:t>
      </w:r>
    </w:p>
    <w:p w14:paraId="2AAA8ED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村级申报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由嘎查村委员会根据本村集体经济收入情况和参保人员情况，编制年度补助方案，经村民代表会议或村民大会讨论通过并公示无异议后，报</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苏木镇审核。</w:t>
      </w:r>
    </w:p>
    <w:p w14:paraId="5DBDE48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2.镇</w:t>
      </w:r>
      <w:r>
        <w:rPr>
          <w:rFonts w:hint="eastAsia" w:ascii="仿宋_GB2312" w:hAnsi="仿宋_GB2312" w:eastAsia="仿宋_GB2312" w:cs="仿宋_GB2312"/>
          <w:b/>
          <w:bCs/>
          <w:sz w:val="32"/>
          <w:szCs w:val="32"/>
        </w:rPr>
        <w:t>级审核</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各</w:t>
      </w:r>
      <w:r>
        <w:rPr>
          <w:rFonts w:hint="eastAsia" w:ascii="仿宋_GB2312" w:hAnsi="仿宋_GB2312" w:eastAsia="仿宋_GB2312" w:cs="仿宋_GB2312"/>
          <w:sz w:val="32"/>
          <w:szCs w:val="32"/>
        </w:rPr>
        <w:t>苏木镇对嘎查村上报的补助方案进行审核把关，重点审核补助对象是否精准、补助标准是否合规、程序是否到位，审核通过后统一报送旗社保服务中心备案。</w:t>
      </w:r>
    </w:p>
    <w:p w14:paraId="0B93559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旗级备案</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旗社保服务中心对各</w:t>
      </w:r>
      <w:r>
        <w:rPr>
          <w:rFonts w:hint="eastAsia" w:ascii="仿宋_GB2312" w:hAnsi="仿宋_GB2312" w:eastAsia="仿宋_GB2312" w:cs="仿宋_GB2312"/>
          <w:sz w:val="32"/>
          <w:szCs w:val="32"/>
          <w:lang w:val="en-US" w:eastAsia="zh-CN"/>
        </w:rPr>
        <w:t>苏木镇</w:t>
      </w:r>
      <w:r>
        <w:rPr>
          <w:rFonts w:hint="eastAsia" w:ascii="仿宋_GB2312" w:hAnsi="仿宋_GB2312" w:eastAsia="仿宋_GB2312" w:cs="仿宋_GB2312"/>
          <w:sz w:val="32"/>
          <w:szCs w:val="32"/>
        </w:rPr>
        <w:t>上报的补助方案进行登记备案，指导各嘎查村将补助资金及时划入参保人员个人账户。</w:t>
      </w:r>
    </w:p>
    <w:p w14:paraId="616D2EB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bCs/>
          <w:sz w:val="32"/>
          <w:szCs w:val="32"/>
        </w:rPr>
        <w:t>开展试点先行和逐步推广</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各苏木镇</w:t>
      </w:r>
      <w:r>
        <w:rPr>
          <w:rFonts w:hint="eastAsia" w:ascii="仿宋_GB2312" w:hAnsi="仿宋_GB2312" w:eastAsia="仿宋_GB2312" w:cs="仿宋_GB2312"/>
          <w:sz w:val="32"/>
          <w:szCs w:val="32"/>
        </w:rPr>
        <w:t>选择集体经济收入稳定、基础条件较好的</w:t>
      </w:r>
      <w:r>
        <w:rPr>
          <w:rFonts w:hint="eastAsia" w:ascii="仿宋_GB2312" w:hAnsi="仿宋_GB2312" w:eastAsia="仿宋_GB2312" w:cs="仿宋_GB2312"/>
          <w:sz w:val="32"/>
          <w:szCs w:val="32"/>
          <w:lang w:val="en-US" w:eastAsia="zh-CN"/>
        </w:rPr>
        <w:t>两</w:t>
      </w:r>
      <w:r>
        <w:rPr>
          <w:rFonts w:hint="eastAsia" w:ascii="仿宋_GB2312" w:hAnsi="仿宋_GB2312" w:eastAsia="仿宋_GB2312" w:cs="仿宋_GB2312"/>
          <w:sz w:val="32"/>
          <w:szCs w:val="32"/>
        </w:rPr>
        <w:t>个嘎查村作为试点，</w:t>
      </w:r>
      <w:r>
        <w:rPr>
          <w:rFonts w:hint="eastAsia" w:ascii="仿宋_GB2312" w:hAnsi="仿宋_GB2312" w:eastAsia="仿宋_GB2312" w:cs="仿宋_GB2312"/>
          <w:sz w:val="32"/>
          <w:szCs w:val="32"/>
          <w:lang w:val="en-US" w:eastAsia="zh-CN"/>
        </w:rPr>
        <w:t>在2026年</w:t>
      </w:r>
      <w:r>
        <w:rPr>
          <w:rFonts w:hint="eastAsia" w:ascii="仿宋_GB2312" w:hAnsi="仿宋_GB2312" w:eastAsia="仿宋_GB2312" w:cs="仿宋_GB2312"/>
          <w:sz w:val="32"/>
          <w:szCs w:val="32"/>
        </w:rPr>
        <w:t>开展城乡居民养老保险村集体经济补助工作</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总结试点经验，形成可复制、可推广的工作模式，适时在全旗范围内全面推开。建立定期调度和经验交流机制，</w:t>
      </w:r>
      <w:r>
        <w:rPr>
          <w:rFonts w:hint="eastAsia" w:ascii="仿宋_GB2312" w:hAnsi="仿宋_GB2312" w:eastAsia="仿宋_GB2312" w:cs="仿宋_GB2312"/>
          <w:sz w:val="32"/>
          <w:szCs w:val="32"/>
          <w:lang w:val="en-US" w:eastAsia="zh-CN"/>
        </w:rPr>
        <w:t>适时</w:t>
      </w:r>
      <w:r>
        <w:rPr>
          <w:rFonts w:hint="eastAsia" w:ascii="仿宋_GB2312" w:hAnsi="仿宋_GB2312" w:eastAsia="仿宋_GB2312" w:cs="仿宋_GB2312"/>
          <w:sz w:val="32"/>
          <w:szCs w:val="32"/>
        </w:rPr>
        <w:t>召开试点工作推进会，研究解决工作中遇到的困难和问题。</w:t>
      </w:r>
    </w:p>
    <w:p w14:paraId="4FA658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w:t>
      </w:r>
      <w:r>
        <w:rPr>
          <w:rFonts w:hint="eastAsia" w:ascii="黑体" w:hAnsi="黑体" w:eastAsia="黑体" w:cs="黑体"/>
          <w:sz w:val="32"/>
          <w:szCs w:val="32"/>
        </w:rPr>
        <w:t>、保障措施</w:t>
      </w:r>
    </w:p>
    <w:p w14:paraId="1765997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加强部门协同</w:t>
      </w:r>
    </w:p>
    <w:p w14:paraId="12EB8F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各相关部门按照职责分工，各司其职，密切配合，形成工作合力。建立“旗级统筹、</w:t>
      </w:r>
      <w:r>
        <w:rPr>
          <w:rFonts w:hint="eastAsia" w:ascii="仿宋_GB2312" w:hAnsi="仿宋_GB2312" w:eastAsia="仿宋_GB2312" w:cs="仿宋_GB2312"/>
          <w:sz w:val="32"/>
          <w:szCs w:val="32"/>
          <w:lang w:eastAsia="zh-CN"/>
        </w:rPr>
        <w:t>苏木</w:t>
      </w:r>
      <w:r>
        <w:rPr>
          <w:rFonts w:hint="eastAsia" w:ascii="仿宋_GB2312" w:hAnsi="仿宋_GB2312" w:eastAsia="仿宋_GB2312" w:cs="仿宋_GB2312"/>
          <w:sz w:val="32"/>
          <w:szCs w:val="32"/>
        </w:rPr>
        <w:t>镇主抓、</w:t>
      </w:r>
      <w:r>
        <w:rPr>
          <w:rFonts w:hint="eastAsia" w:ascii="仿宋_GB2312" w:hAnsi="仿宋_GB2312" w:eastAsia="仿宋_GB2312" w:cs="仿宋_GB2312"/>
          <w:sz w:val="32"/>
          <w:szCs w:val="32"/>
          <w:lang w:eastAsia="zh-CN"/>
        </w:rPr>
        <w:t>嘎查</w:t>
      </w:r>
      <w:r>
        <w:rPr>
          <w:rFonts w:hint="eastAsia" w:ascii="仿宋_GB2312" w:hAnsi="仿宋_GB2312" w:eastAsia="仿宋_GB2312" w:cs="仿宋_GB2312"/>
          <w:sz w:val="32"/>
          <w:szCs w:val="32"/>
        </w:rPr>
        <w:t>村落实”的三级责任体系。</w:t>
      </w:r>
    </w:p>
    <w:p w14:paraId="7742914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人社局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负责</w:t>
      </w:r>
      <w:r>
        <w:rPr>
          <w:rFonts w:hint="eastAsia" w:ascii="仿宋_GB2312" w:hAnsi="仿宋_GB2312" w:eastAsia="仿宋_GB2312" w:cs="仿宋_GB2312"/>
          <w:sz w:val="32"/>
          <w:szCs w:val="32"/>
        </w:rPr>
        <w:t>统筹协调全旗社会保险参保扩面工作，组织开展新就业形态从业人员摸底调查，建立动态管理台账；指导落实城乡居民养老保险村集体经济补助工作</w:t>
      </w:r>
      <w:r>
        <w:rPr>
          <w:rFonts w:hint="eastAsia" w:ascii="仿宋_GB2312" w:hAnsi="仿宋_GB2312" w:eastAsia="仿宋_GB2312" w:cs="仿宋_GB2312"/>
          <w:sz w:val="32"/>
          <w:szCs w:val="32"/>
          <w:lang w:eastAsia="zh-CN"/>
        </w:rPr>
        <w:t>。</w:t>
      </w:r>
    </w:p>
    <w:p w14:paraId="43A41CA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社保服务中心：</w:t>
      </w:r>
      <w:r>
        <w:rPr>
          <w:rFonts w:hint="eastAsia" w:ascii="仿宋_GB2312" w:hAnsi="仿宋_GB2312" w:eastAsia="仿宋_GB2312" w:cs="仿宋_GB2312"/>
          <w:b w:val="0"/>
          <w:bCs w:val="0"/>
          <w:sz w:val="32"/>
          <w:szCs w:val="32"/>
          <w:lang w:val="en-US" w:eastAsia="zh-CN"/>
        </w:rPr>
        <w:t>负责</w:t>
      </w:r>
      <w:r>
        <w:rPr>
          <w:rFonts w:hint="eastAsia" w:ascii="仿宋_GB2312" w:hAnsi="仿宋_GB2312" w:eastAsia="仿宋_GB2312" w:cs="仿宋_GB2312"/>
          <w:sz w:val="32"/>
          <w:szCs w:val="32"/>
        </w:rPr>
        <w:t>做好参保登记、个人账户管理、待遇发放等经办服务工作；组织开展政策宣传和业务培训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做好与税务部门的数据交换和业务衔接；定期汇总分析参保数据，提出工作建议。</w:t>
      </w:r>
    </w:p>
    <w:p w14:paraId="7EDBEA4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税务局：</w:t>
      </w:r>
      <w:r>
        <w:rPr>
          <w:rFonts w:hint="eastAsia" w:ascii="仿宋_GB2312" w:hAnsi="仿宋_GB2312" w:eastAsia="仿宋_GB2312" w:cs="仿宋_GB2312"/>
          <w:sz w:val="32"/>
          <w:szCs w:val="32"/>
          <w:lang w:val="en-US" w:eastAsia="zh-CN"/>
        </w:rPr>
        <w:t>征缴方面由税务局牵头，人社局和社保服务中心配合，联合组建执法检查队伍，依法开展养老保险扩面征缴专项检查行动，重点核查企业参保、社会保险费按时足额缴纳情况，引导企业增强依法参保、规范用工意识。</w:t>
      </w:r>
    </w:p>
    <w:p w14:paraId="240ED99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市监局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负责</w:t>
      </w:r>
      <w:r>
        <w:rPr>
          <w:rFonts w:hint="eastAsia" w:ascii="仿宋_GB2312" w:hAnsi="仿宋_GB2312" w:eastAsia="仿宋_GB2312" w:cs="仿宋_GB2312"/>
          <w:sz w:val="32"/>
          <w:szCs w:val="32"/>
        </w:rPr>
        <w:t>提供平台企业、个体工商户等市场主体登记信息；配合开展新就业形态从业人员摸底调查；配合开展平台企业参保情况执法检查。</w:t>
      </w:r>
    </w:p>
    <w:p w14:paraId="67CA961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交通运输局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负责</w:t>
      </w:r>
      <w:r>
        <w:rPr>
          <w:rFonts w:hint="eastAsia" w:ascii="仿宋_GB2312" w:hAnsi="仿宋_GB2312" w:eastAsia="仿宋_GB2312" w:cs="仿宋_GB2312"/>
          <w:sz w:val="32"/>
          <w:szCs w:val="32"/>
        </w:rPr>
        <w:t>提供网约车平台企业及从业人员相关信息；配合开展网约车行业从业人员参保宣传和动员。</w:t>
      </w:r>
    </w:p>
    <w:p w14:paraId="714EC4C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eastAsia="zh-CN"/>
        </w:rPr>
        <w:t>商贸服务中心：</w:t>
      </w:r>
      <w:r>
        <w:rPr>
          <w:rFonts w:hint="eastAsia" w:ascii="仿宋_GB2312" w:hAnsi="仿宋_GB2312" w:eastAsia="仿宋_GB2312" w:cs="仿宋_GB2312"/>
          <w:b w:val="0"/>
          <w:bCs w:val="0"/>
          <w:sz w:val="32"/>
          <w:szCs w:val="32"/>
          <w:lang w:eastAsia="zh-CN"/>
        </w:rPr>
        <w:t>负责</w:t>
      </w:r>
      <w:r>
        <w:rPr>
          <w:rFonts w:hint="eastAsia" w:ascii="仿宋_GB2312" w:hAnsi="仿宋_GB2312" w:eastAsia="仿宋_GB2312" w:cs="仿宋_GB2312"/>
          <w:b w:val="0"/>
          <w:bCs w:val="0"/>
          <w:sz w:val="32"/>
          <w:szCs w:val="32"/>
        </w:rPr>
        <w:t>提供电商直播、互联网销售等行业从业人员相关信息；配合开展上述行业从业人员参保宣传和动员。</w:t>
      </w:r>
    </w:p>
    <w:p w14:paraId="438B52A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旗邮政</w:t>
      </w:r>
      <w:r>
        <w:rPr>
          <w:rFonts w:hint="eastAsia" w:ascii="仿宋_GB2312" w:hAnsi="仿宋_GB2312" w:eastAsia="仿宋_GB2312" w:cs="仿宋_GB2312"/>
          <w:b/>
          <w:bCs/>
          <w:sz w:val="32"/>
          <w:szCs w:val="32"/>
          <w:lang w:val="en-US" w:eastAsia="zh-CN"/>
        </w:rPr>
        <w:t>公司：</w:t>
      </w:r>
      <w:r>
        <w:rPr>
          <w:rFonts w:hint="eastAsia" w:ascii="仿宋_GB2312" w:hAnsi="仿宋_GB2312" w:eastAsia="仿宋_GB2312" w:cs="仿宋_GB2312"/>
          <w:b w:val="0"/>
          <w:bCs w:val="0"/>
          <w:sz w:val="32"/>
          <w:szCs w:val="32"/>
          <w:lang w:val="en-US" w:eastAsia="zh-CN"/>
        </w:rPr>
        <w:t>负责</w:t>
      </w:r>
      <w:r>
        <w:rPr>
          <w:rFonts w:hint="eastAsia" w:ascii="仿宋_GB2312" w:hAnsi="仿宋_GB2312" w:eastAsia="仿宋_GB2312" w:cs="仿宋_GB2312"/>
          <w:sz w:val="32"/>
          <w:szCs w:val="32"/>
        </w:rPr>
        <w:t>提供快递物流企业及从业人员相关信息；配合开展快递行业从业人员参保宣传和动员；将从业人员参保情况纳入行业管理。</w:t>
      </w:r>
    </w:p>
    <w:p w14:paraId="51AFECF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各</w:t>
      </w:r>
      <w:r>
        <w:rPr>
          <w:rFonts w:hint="eastAsia" w:ascii="仿宋_GB2312" w:hAnsi="仿宋_GB2312" w:eastAsia="仿宋_GB2312" w:cs="仿宋_GB2312"/>
          <w:b/>
          <w:bCs/>
          <w:sz w:val="32"/>
          <w:szCs w:val="32"/>
        </w:rPr>
        <w:t>苏木镇</w:t>
      </w:r>
      <w:r>
        <w:rPr>
          <w:rFonts w:hint="eastAsia" w:ascii="仿宋_GB2312" w:hAnsi="仿宋_GB2312" w:eastAsia="仿宋_GB2312" w:cs="仿宋_GB2312"/>
          <w:b/>
          <w:bCs/>
          <w:sz w:val="32"/>
          <w:szCs w:val="32"/>
          <w:lang w:eastAsia="zh-CN"/>
        </w:rPr>
        <w:t>、农牧场：</w:t>
      </w:r>
      <w:r>
        <w:rPr>
          <w:rFonts w:hint="eastAsia" w:ascii="仿宋_GB2312" w:hAnsi="仿宋_GB2312" w:eastAsia="仿宋_GB2312" w:cs="仿宋_GB2312"/>
          <w:sz w:val="32"/>
          <w:szCs w:val="32"/>
        </w:rPr>
        <w:t>负责辖区内城乡居民养老保险参保动员、人员摸排和政策宣传；负责辖区内新就业形态从业人员的摸底和信息报送；落实辖区内村集体经济补助城乡居民养老保险工作，指导各嘎查村制定补助方案、规范工作程序；</w:t>
      </w:r>
      <w:r>
        <w:rPr>
          <w:rFonts w:hint="eastAsia" w:ascii="仿宋_GB2312" w:hAnsi="仿宋_GB2312" w:eastAsia="仿宋_GB2312" w:cs="仿宋_GB2312"/>
          <w:sz w:val="32"/>
          <w:szCs w:val="32"/>
          <w:lang w:val="en-US" w:eastAsia="zh-CN"/>
        </w:rPr>
        <w:t>落实城乡居民养老保险“同审统办”业务经办工作。</w:t>
      </w:r>
    </w:p>
    <w:p w14:paraId="07CA9F2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rPr>
        <w:t>）加强督导调度</w:t>
      </w:r>
    </w:p>
    <w:p w14:paraId="44120D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val="en-US" w:eastAsia="zh-CN"/>
        </w:rPr>
        <w:t>定期</w:t>
      </w:r>
      <w:r>
        <w:rPr>
          <w:rFonts w:hint="eastAsia" w:ascii="仿宋_GB2312" w:hAnsi="仿宋_GB2312" w:eastAsia="仿宋_GB2312" w:cs="仿宋_GB2312"/>
          <w:sz w:val="32"/>
          <w:szCs w:val="32"/>
        </w:rPr>
        <w:t>调度、年终考核的工作推进机制</w:t>
      </w:r>
      <w:r>
        <w:rPr>
          <w:rFonts w:hint="eastAsia" w:ascii="仿宋_GB2312" w:hAnsi="仿宋_GB2312" w:eastAsia="仿宋_GB2312" w:cs="仿宋_GB2312"/>
          <w:sz w:val="32"/>
          <w:szCs w:val="32"/>
          <w:lang w:eastAsia="zh-CN"/>
        </w:rPr>
        <w:t>，旗人社局</w:t>
      </w:r>
      <w:r>
        <w:rPr>
          <w:rFonts w:hint="eastAsia" w:ascii="仿宋_GB2312" w:hAnsi="仿宋_GB2312" w:eastAsia="仿宋_GB2312" w:cs="仿宋_GB2312"/>
          <w:sz w:val="32"/>
          <w:szCs w:val="32"/>
        </w:rPr>
        <w:t>每</w:t>
      </w:r>
      <w:r>
        <w:rPr>
          <w:rFonts w:hint="eastAsia" w:ascii="仿宋_GB2312" w:hAnsi="仿宋_GB2312" w:eastAsia="仿宋_GB2312" w:cs="仿宋_GB2312"/>
          <w:sz w:val="32"/>
          <w:szCs w:val="32"/>
          <w:lang w:val="en-US" w:eastAsia="zh-CN"/>
        </w:rPr>
        <w:t>半</w:t>
      </w:r>
      <w:r>
        <w:rPr>
          <w:rFonts w:hint="eastAsia" w:ascii="仿宋_GB2312" w:hAnsi="仿宋_GB2312" w:eastAsia="仿宋_GB2312" w:cs="仿宋_GB2312"/>
          <w:sz w:val="32"/>
          <w:szCs w:val="32"/>
        </w:rPr>
        <w:t>月对各苏木镇</w:t>
      </w:r>
      <w:r>
        <w:rPr>
          <w:rFonts w:hint="eastAsia" w:ascii="仿宋_GB2312" w:hAnsi="仿宋_GB2312" w:eastAsia="仿宋_GB2312" w:cs="仿宋_GB2312"/>
          <w:sz w:val="32"/>
          <w:szCs w:val="32"/>
          <w:lang w:eastAsia="zh-CN"/>
        </w:rPr>
        <w:t>、农牧场</w:t>
      </w:r>
      <w:r>
        <w:rPr>
          <w:rFonts w:hint="eastAsia" w:ascii="仿宋_GB2312" w:hAnsi="仿宋_GB2312" w:eastAsia="仿宋_GB2312" w:cs="仿宋_GB2312"/>
          <w:sz w:val="32"/>
          <w:szCs w:val="32"/>
        </w:rPr>
        <w:t>工作进展情况进行调度，年终进行综合考核评估。</w:t>
      </w:r>
    </w:p>
    <w:p w14:paraId="308CB16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）营造良好氛围</w:t>
      </w:r>
    </w:p>
    <w:p w14:paraId="217B2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各相关部门和苏木镇</w:t>
      </w:r>
      <w:r>
        <w:rPr>
          <w:rFonts w:hint="eastAsia" w:ascii="仿宋_GB2312" w:hAnsi="仿宋_GB2312" w:eastAsia="仿宋_GB2312" w:cs="仿宋_GB2312"/>
          <w:sz w:val="32"/>
          <w:szCs w:val="32"/>
          <w:lang w:eastAsia="zh-CN"/>
        </w:rPr>
        <w:t>、农牧场</w:t>
      </w:r>
      <w:r>
        <w:rPr>
          <w:rFonts w:hint="eastAsia" w:ascii="仿宋_GB2312" w:hAnsi="仿宋_GB2312" w:eastAsia="仿宋_GB2312" w:cs="仿宋_GB2312"/>
          <w:sz w:val="32"/>
          <w:szCs w:val="32"/>
        </w:rPr>
        <w:t>要充分利用各类媒体平台，广泛宣传社会保险政策法规和参保的重要意义，</w:t>
      </w:r>
      <w:r>
        <w:rPr>
          <w:rFonts w:hint="eastAsia" w:ascii="仿宋_GB2312" w:hAnsi="仿宋_GB2312" w:eastAsia="仿宋_GB2312" w:cs="仿宋_GB2312"/>
          <w:sz w:val="32"/>
          <w:szCs w:val="32"/>
          <w:lang w:eastAsia="zh-CN"/>
        </w:rPr>
        <w:t>增强</w:t>
      </w:r>
      <w:r>
        <w:rPr>
          <w:rFonts w:hint="eastAsia" w:ascii="仿宋_GB2312" w:hAnsi="仿宋_GB2312" w:eastAsia="仿宋_GB2312" w:cs="仿宋_GB2312"/>
          <w:sz w:val="32"/>
          <w:szCs w:val="32"/>
        </w:rPr>
        <w:t>群众参保意识和积极性，在全社会营造“人人参保、人人享有”的良好氛围。</w:t>
      </w:r>
    </w:p>
    <w:p w14:paraId="61E3DCA8">
      <w:pPr>
        <w:pStyle w:val="2"/>
        <w:rPr>
          <w:rFonts w:hint="eastAsia"/>
          <w:lang w:eastAsia="zh-CN"/>
        </w:rPr>
      </w:pPr>
    </w:p>
    <w:p w14:paraId="03D58120">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rPr>
      </w:pPr>
    </w:p>
    <w:p w14:paraId="3DADD445">
      <w:pPr>
        <w:rPr>
          <w:rFonts w:hint="eastAsia"/>
        </w:rPr>
      </w:pPr>
    </w:p>
    <w:p w14:paraId="57A8DE79">
      <w:pPr>
        <w:pStyle w:val="2"/>
        <w:rPr>
          <w:rFonts w:hint="eastAsia"/>
        </w:rPr>
      </w:pPr>
    </w:p>
    <w:p w14:paraId="0BF0B818">
      <w:pPr>
        <w:rPr>
          <w:rFonts w:hint="eastAsia"/>
        </w:rPr>
      </w:pPr>
    </w:p>
    <w:p w14:paraId="1101D286">
      <w:pPr>
        <w:pStyle w:val="2"/>
        <w:rPr>
          <w:rFonts w:hint="eastAsia"/>
        </w:rPr>
      </w:pPr>
    </w:p>
    <w:p w14:paraId="31C71565">
      <w:pPr>
        <w:rPr>
          <w:rFonts w:hint="eastAsia"/>
        </w:rPr>
      </w:pPr>
    </w:p>
    <w:p w14:paraId="7D858C38">
      <w:pPr>
        <w:pStyle w:val="2"/>
        <w:rPr>
          <w:rFonts w:hint="eastAsia"/>
        </w:rPr>
      </w:pPr>
    </w:p>
    <w:p w14:paraId="6016B335">
      <w:pPr>
        <w:rPr>
          <w:rFonts w:hint="eastAsia"/>
        </w:rPr>
      </w:pPr>
    </w:p>
    <w:p w14:paraId="31FEB3DC">
      <w:pPr>
        <w:pStyle w:val="2"/>
        <w:rPr>
          <w:rFonts w:hint="eastAsia"/>
        </w:rPr>
      </w:pPr>
    </w:p>
    <w:p w14:paraId="1B4F0CEA">
      <w:pPr>
        <w:rPr>
          <w:rFonts w:hint="eastAsia"/>
        </w:rPr>
      </w:pPr>
    </w:p>
    <w:p w14:paraId="5EA3D625">
      <w:pPr>
        <w:pStyle w:val="2"/>
        <w:rPr>
          <w:rFonts w:hint="eastAsia"/>
        </w:rPr>
      </w:pPr>
    </w:p>
    <w:p w14:paraId="2C1C4C40">
      <w:pPr>
        <w:rPr>
          <w:rFonts w:hint="eastAsia"/>
        </w:rPr>
      </w:pPr>
    </w:p>
    <w:p w14:paraId="2E09BF60">
      <w:pPr>
        <w:pStyle w:val="2"/>
        <w:rPr>
          <w:rFonts w:hint="eastAsia"/>
        </w:rPr>
      </w:pPr>
    </w:p>
    <w:p w14:paraId="48CE202A">
      <w:pPr>
        <w:rPr>
          <w:rFonts w:hint="eastAsia"/>
        </w:rPr>
      </w:pPr>
    </w:p>
    <w:p w14:paraId="305710AD">
      <w:pPr>
        <w:pStyle w:val="2"/>
        <w:rPr>
          <w:rFonts w:hint="eastAsia"/>
        </w:rPr>
      </w:pPr>
    </w:p>
    <w:p w14:paraId="08585FE0">
      <w:pPr>
        <w:rPr>
          <w:rFonts w:hint="eastAsia"/>
        </w:rPr>
      </w:pPr>
    </w:p>
    <w:p w14:paraId="7713E6F6">
      <w:pPr>
        <w:pStyle w:val="2"/>
        <w:rPr>
          <w:rFonts w:hint="eastAsia"/>
        </w:rPr>
      </w:pPr>
    </w:p>
    <w:p w14:paraId="050CE1E2">
      <w:pPr>
        <w:rPr>
          <w:rFonts w:hint="eastAsia"/>
        </w:rPr>
      </w:pPr>
    </w:p>
    <w:p w14:paraId="2164C747">
      <w:pPr>
        <w:pStyle w:val="2"/>
        <w:rPr>
          <w:rFonts w:hint="eastAsia"/>
        </w:rPr>
      </w:pPr>
    </w:p>
    <w:p w14:paraId="4A86C11E">
      <w:pPr>
        <w:rPr>
          <w:rFonts w:hint="eastAsia"/>
        </w:rPr>
      </w:pPr>
    </w:p>
    <w:p w14:paraId="3DE0C18A">
      <w:pPr>
        <w:pStyle w:val="2"/>
        <w:rPr>
          <w:rFonts w:hint="eastAsia"/>
        </w:rPr>
      </w:pPr>
    </w:p>
    <w:p w14:paraId="10A65432">
      <w:pPr>
        <w:rPr>
          <w:rFonts w:hint="eastAsia"/>
        </w:rPr>
      </w:pPr>
    </w:p>
    <w:p w14:paraId="60F5F8DF">
      <w:pPr>
        <w:pStyle w:val="2"/>
        <w:rPr>
          <w:rFonts w:hint="eastAsia"/>
        </w:rPr>
      </w:pPr>
    </w:p>
    <w:p w14:paraId="7923EE4D">
      <w:pPr>
        <w:rPr>
          <w:rFonts w:hint="eastAsia"/>
        </w:rPr>
      </w:pPr>
    </w:p>
    <w:p w14:paraId="442112CE">
      <w:pPr>
        <w:pStyle w:val="2"/>
        <w:rPr>
          <w:rFonts w:hint="eastAsia"/>
        </w:rPr>
      </w:pPr>
    </w:p>
    <w:p w14:paraId="6FC172A3">
      <w:pPr>
        <w:rPr>
          <w:rFonts w:hint="eastAsia"/>
        </w:rPr>
      </w:pPr>
    </w:p>
    <w:p w14:paraId="2C5222AB">
      <w:pPr>
        <w:pStyle w:val="2"/>
        <w:rPr>
          <w:rFonts w:hint="eastAsia"/>
        </w:rPr>
      </w:pPr>
    </w:p>
    <w:p w14:paraId="2363780F">
      <w:pPr>
        <w:rPr>
          <w:rFonts w:hint="eastAsia"/>
        </w:rPr>
      </w:pPr>
    </w:p>
    <w:p w14:paraId="4EFC3622">
      <w:pPr>
        <w:pStyle w:val="2"/>
        <w:rPr>
          <w:rFonts w:hint="eastAsia"/>
        </w:rPr>
      </w:pPr>
    </w:p>
    <w:p w14:paraId="61ED6323">
      <w:pPr>
        <w:keepNext w:val="0"/>
        <w:keepLines w:val="0"/>
        <w:pageBreakBefore w:val="0"/>
        <w:widowControl w:val="0"/>
        <w:pBdr>
          <w:top w:val="single" w:color="auto" w:sz="4" w:space="0"/>
          <w:bottom w:val="single" w:color="auto" w:sz="4" w:space="0"/>
        </w:pBdr>
        <w:kinsoku/>
        <w:wordWrap w:val="0"/>
        <w:overflowPunct/>
        <w:topLinePunct w:val="0"/>
        <w:autoSpaceDE/>
        <w:autoSpaceDN/>
        <w:bidi w:val="0"/>
        <w:adjustRightInd/>
        <w:snapToGrid/>
        <w:spacing w:beforeLines="0" w:after="0" w:afterLines="0" w:line="560" w:lineRule="exact"/>
        <w:ind w:firstLine="280" w:firstLineChars="100"/>
        <w:textAlignment w:val="auto"/>
        <w:rPr>
          <w:rFonts w:hint="eastAsia"/>
          <w:lang w:eastAsia="zh-CN"/>
        </w:rPr>
      </w:pPr>
      <w:r>
        <w:rPr>
          <w:rFonts w:hint="eastAsia" w:ascii="仿宋_GB2312" w:hAnsi="仿宋_GB2312" w:eastAsia="仿宋_GB2312" w:cs="仿宋_GB2312"/>
          <w:sz w:val="28"/>
          <w:szCs w:val="28"/>
        </w:rPr>
        <w:t>乌拉特前旗</w:t>
      </w:r>
      <w:r>
        <w:rPr>
          <w:rFonts w:hint="eastAsia" w:ascii="仿宋_GB2312" w:hAnsi="仿宋_GB2312" w:eastAsia="仿宋_GB2312" w:cs="仿宋_GB2312"/>
          <w:sz w:val="28"/>
          <w:szCs w:val="28"/>
          <w:lang w:eastAsia="zh-CN"/>
        </w:rPr>
        <w:t>人民政府</w:t>
      </w:r>
      <w:r>
        <w:rPr>
          <w:rFonts w:hint="eastAsia" w:ascii="仿宋_GB2312" w:hAnsi="仿宋_GB2312" w:eastAsia="仿宋_GB2312" w:cs="仿宋_GB2312"/>
          <w:sz w:val="28"/>
          <w:szCs w:val="28"/>
        </w:rPr>
        <w:t xml:space="preserve">办公室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cs="仿宋_GB2312"/>
          <w:sz w:val="28"/>
          <w:szCs w:val="28"/>
          <w:lang w:val="en-US" w:eastAsia="zh-CN"/>
        </w:rPr>
        <w:t>8</w:t>
      </w:r>
      <w:r>
        <w:rPr>
          <w:rFonts w:hint="eastAsia" w:ascii="仿宋_GB2312" w:hAnsi="仿宋_GB2312" w:eastAsia="仿宋_GB2312" w:cs="仿宋_GB2312"/>
          <w:sz w:val="28"/>
          <w:szCs w:val="28"/>
        </w:rPr>
        <w:t>月</w:t>
      </w:r>
      <w:r>
        <w:rPr>
          <w:rFonts w:hint="eastAsia" w:ascii="仿宋_GB2312" w:hAnsi="仿宋_GB2312" w:cs="仿宋_GB2312"/>
          <w:sz w:val="28"/>
          <w:szCs w:val="28"/>
          <w:lang w:val="en-US" w:eastAsia="zh-CN"/>
        </w:rPr>
        <w:t>25</w:t>
      </w:r>
      <w:r>
        <w:rPr>
          <w:rFonts w:hint="eastAsia" w:ascii="仿宋_GB2312" w:hAnsi="仿宋_GB2312" w:eastAsia="仿宋_GB2312" w:cs="仿宋_GB2312"/>
          <w:sz w:val="28"/>
          <w:szCs w:val="28"/>
        </w:rPr>
        <w:t>日印发</w:t>
      </w:r>
    </w:p>
    <w:p w14:paraId="3AC928BA"/>
    <w:sectPr>
      <w:footerReference r:id="rId3" w:type="default"/>
      <w:pgSz w:w="11906" w:h="16838"/>
      <w:pgMar w:top="2098" w:right="1587"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仿宋-GB2312">
    <w:altName w:val="仿宋"/>
    <w:panose1 w:val="02000500000000000000"/>
    <w:charset w:val="86"/>
    <w:family w:val="auto"/>
    <w:pitch w:val="default"/>
    <w:sig w:usb0="00000000" w:usb1="00000000" w:usb2="00000010"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5AA7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0C403">
                          <w:pPr>
                            <w:pStyle w:val="3"/>
                            <w:rPr>
                              <w:rFonts w:hint="eastAsia" w:ascii="宋体" w:hAnsi="宋体" w:eastAsia="宋体" w:cs="宋体"/>
                              <w:sz w:val="24"/>
                              <w:szCs w:val="24"/>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A0C403">
                    <w:pPr>
                      <w:pStyle w:val="3"/>
                      <w:rPr>
                        <w:rFonts w:hint="eastAsia" w:ascii="宋体" w:hAnsi="宋体" w:eastAsia="宋体" w:cs="宋体"/>
                        <w:sz w:val="24"/>
                        <w:szCs w:val="24"/>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0A0384"/>
    <w:rsid w:val="770A0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210"/>
      <w:jc w:val="left"/>
    </w:pPr>
    <w:rPr>
      <w:smallCaps/>
      <w:sz w:val="20"/>
      <w:szCs w:val="20"/>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2026-09-30T08:35:00Z</dcterms:created>
  <dc:creator>李子</dc:creator>
  <cp:lastModifiedBy>李子</cp:lastModifiedBy>
  <dcterms:modified xsi:type="dcterms:W3CDTF">2026-09-30T08:37:23Z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7575DEA01F2A47079B85EA4140D0E45F_11</vt:lpwstr>
  </property>
  <property fmtid="{D5CDD505-2E9C-101B-9397-08002B2CF9AE}" pid="4" name="KSOTemplateDocerSaveRecord">
    <vt:lpwstr>eyJoZGlkIjoiOTQ0NzUzNWVmOTg1YjM4MmY3MzVlOTEzYzlmYTU5Y2MiLCJ1c2VySWQiOiIzMzA4Njg3OTQifQ==</vt:lpwstr>
  </property>
</Properties>
</file>