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-SA"/>
        </w:rPr>
        <w:t>附件2：乌拉特前旗2024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-SA"/>
        </w:rPr>
        <w:t>-2025年套内零星沙丘治理分布图</w:t>
      </w:r>
      <w:r>
        <w:rPr>
          <w:rFonts w:hint="default" w:ascii="宋体" w:hAnsi="宋体" w:eastAsia="宋体" w:cs="宋体"/>
          <w:b w:val="0"/>
          <w:bCs w:val="0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6718300" cy="4749800"/>
            <wp:effectExtent l="0" t="0" r="6350" b="12700"/>
            <wp:docPr id="2" name="图片 2" descr="2024-2025年总布局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4-2025年总布局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18300" cy="474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F74CC1"/>
    <w:rsid w:val="07F7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30</Characters>
  <Lines>0</Lines>
  <Paragraphs>0</Paragraphs>
  <TotalTime>3</TotalTime>
  <ScaleCrop>false</ScaleCrop>
  <LinksUpToDate>false</LinksUpToDate>
  <CharactersWithSpaces>30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2024-04-28T02:29:00Z</dcterms:created>
  <dc:creator>大西几的wps</dc:creator>
  <cp:lastModifiedBy>大西几的wps</cp:lastModifiedBy>
  <dcterms:modified xsi:type="dcterms:W3CDTF">2024-04-28T02:33:17Z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11BA83A6574041EDBB1E58D38ABC19E9</vt:lpwstr>
  </property>
</Properties>
</file>